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6B" w:rsidRPr="001A6177" w:rsidRDefault="0055746B" w:rsidP="001A6177">
      <w:pPr>
        <w:tabs>
          <w:tab w:val="left" w:pos="7513"/>
        </w:tabs>
        <w:rPr>
          <w:rFonts w:ascii="Tahoma" w:hAnsi="Tahoma" w:cs="Tahoma"/>
        </w:rPr>
      </w:pPr>
      <w:bookmarkStart w:id="0" w:name="_GoBack"/>
      <w:bookmarkEnd w:id="0"/>
    </w:p>
    <w:p w:rsidR="006B51DD" w:rsidRPr="009F7A33" w:rsidRDefault="009F7A33" w:rsidP="009F7A33">
      <w:pPr>
        <w:tabs>
          <w:tab w:val="left" w:pos="7371"/>
        </w:tabs>
        <w:rPr>
          <w:rFonts w:ascii="Tahoma" w:hAnsi="Tahoma" w:cs="Tahoma"/>
          <w:sz w:val="20"/>
        </w:rPr>
      </w:pPr>
      <w:r>
        <w:rPr>
          <w:rFonts w:ascii="Tahoma" w:hAnsi="Tahoma" w:cs="Tahoma"/>
        </w:rPr>
        <w:tab/>
      </w:r>
      <w:r w:rsidR="000907C0">
        <w:rPr>
          <w:rFonts w:ascii="Tahoma" w:hAnsi="Tahoma" w:cs="Tahoma"/>
        </w:rPr>
        <w:t>Dezember</w:t>
      </w:r>
      <w:r w:rsidR="00A26E4C">
        <w:rPr>
          <w:rFonts w:ascii="Tahoma" w:hAnsi="Tahoma" w:cs="Tahoma"/>
          <w:sz w:val="20"/>
        </w:rPr>
        <w:t xml:space="preserve"> </w:t>
      </w:r>
      <w:r w:rsidR="000907C0">
        <w:rPr>
          <w:rFonts w:ascii="Tahoma" w:hAnsi="Tahoma" w:cs="Tahoma"/>
          <w:sz w:val="20"/>
        </w:rPr>
        <w:t>2020</w:t>
      </w:r>
    </w:p>
    <w:p w:rsidR="009F7A33" w:rsidRPr="009F7A33" w:rsidRDefault="009F7A33" w:rsidP="00B73C5B">
      <w:pPr>
        <w:rPr>
          <w:rFonts w:ascii="Tahoma" w:hAnsi="Tahoma" w:cs="Tahoma"/>
          <w:b/>
          <w:sz w:val="20"/>
        </w:rPr>
      </w:pPr>
    </w:p>
    <w:p w:rsidR="009F7A33" w:rsidRPr="009F7A33" w:rsidRDefault="009F7A33" w:rsidP="00B73C5B">
      <w:pPr>
        <w:rPr>
          <w:rFonts w:ascii="Tahoma" w:hAnsi="Tahoma" w:cs="Tahoma"/>
          <w:sz w:val="20"/>
        </w:rPr>
      </w:pPr>
    </w:p>
    <w:p w:rsidR="000907C0" w:rsidRDefault="000907C0" w:rsidP="00B73C5B">
      <w:pPr>
        <w:rPr>
          <w:rFonts w:ascii="Tahoma" w:hAnsi="Tahoma" w:cs="Tahoma"/>
          <w:b/>
          <w:sz w:val="20"/>
        </w:rPr>
      </w:pPr>
    </w:p>
    <w:p w:rsidR="004D4588" w:rsidRPr="000907C0" w:rsidRDefault="004D4588" w:rsidP="00B73C5B">
      <w:pPr>
        <w:rPr>
          <w:rFonts w:ascii="Tahoma" w:hAnsi="Tahoma" w:cs="Tahoma"/>
          <w:b/>
          <w:szCs w:val="22"/>
        </w:rPr>
      </w:pPr>
      <w:r w:rsidRPr="000907C0">
        <w:rPr>
          <w:rFonts w:ascii="Tahoma" w:hAnsi="Tahoma" w:cs="Tahoma"/>
          <w:b/>
          <w:szCs w:val="22"/>
        </w:rPr>
        <w:t>Diehl liefert Munition für Fregatte</w:t>
      </w:r>
      <w:r w:rsidR="005534B4" w:rsidRPr="000907C0">
        <w:rPr>
          <w:rFonts w:ascii="Tahoma" w:hAnsi="Tahoma" w:cs="Tahoma"/>
          <w:b/>
          <w:szCs w:val="22"/>
        </w:rPr>
        <w:t xml:space="preserve"> F125</w:t>
      </w:r>
    </w:p>
    <w:p w:rsidR="004D4588" w:rsidRPr="000907C0" w:rsidRDefault="004D4588" w:rsidP="00B73C5B">
      <w:pPr>
        <w:rPr>
          <w:rFonts w:ascii="Tahoma" w:hAnsi="Tahoma" w:cs="Tahoma"/>
          <w:szCs w:val="22"/>
        </w:rPr>
      </w:pPr>
    </w:p>
    <w:p w:rsidR="00DF582B" w:rsidRPr="000907C0" w:rsidRDefault="00F254D7" w:rsidP="00B73C5B">
      <w:pPr>
        <w:rPr>
          <w:rFonts w:ascii="Tahoma" w:hAnsi="Tahoma" w:cs="Tahoma"/>
          <w:szCs w:val="22"/>
        </w:rPr>
      </w:pPr>
      <w:r w:rsidRPr="000907C0">
        <w:rPr>
          <w:rFonts w:ascii="Tahoma" w:hAnsi="Tahoma" w:cs="Tahoma"/>
          <w:szCs w:val="22"/>
        </w:rPr>
        <w:t xml:space="preserve">Die </w:t>
      </w:r>
      <w:r w:rsidR="004D4588" w:rsidRPr="000907C0">
        <w:rPr>
          <w:rFonts w:ascii="Tahoma" w:hAnsi="Tahoma" w:cs="Tahoma"/>
          <w:szCs w:val="22"/>
        </w:rPr>
        <w:t>Unterzeichnung eines Rahmenvertrags über die Herstellung und Lieferung von 127-mm-Übungsmunition für</w:t>
      </w:r>
      <w:r w:rsidR="00EC28F0" w:rsidRPr="000907C0">
        <w:rPr>
          <w:rFonts w:ascii="Tahoma" w:hAnsi="Tahoma" w:cs="Tahoma"/>
          <w:szCs w:val="22"/>
        </w:rPr>
        <w:t xml:space="preserve"> die Fregatten der Baden-Württembergklasse (F125) </w:t>
      </w:r>
      <w:r w:rsidRPr="000907C0">
        <w:rPr>
          <w:rFonts w:ascii="Tahoma" w:hAnsi="Tahoma" w:cs="Tahoma"/>
          <w:szCs w:val="22"/>
        </w:rPr>
        <w:t xml:space="preserve">ermöglicht </w:t>
      </w:r>
      <w:r w:rsidR="00EC28F0" w:rsidRPr="000907C0">
        <w:rPr>
          <w:rFonts w:ascii="Tahoma" w:hAnsi="Tahoma" w:cs="Tahoma"/>
          <w:szCs w:val="22"/>
        </w:rPr>
        <w:t xml:space="preserve">Diehl </w:t>
      </w:r>
      <w:proofErr w:type="spellStart"/>
      <w:r w:rsidR="00EC28F0" w:rsidRPr="000907C0">
        <w:rPr>
          <w:rFonts w:ascii="Tahoma" w:hAnsi="Tahoma" w:cs="Tahoma"/>
          <w:szCs w:val="22"/>
        </w:rPr>
        <w:t>Defence</w:t>
      </w:r>
      <w:proofErr w:type="spellEnd"/>
      <w:r w:rsidR="00EC28F0" w:rsidRPr="000907C0">
        <w:rPr>
          <w:rFonts w:ascii="Tahoma" w:hAnsi="Tahoma" w:cs="Tahoma"/>
          <w:szCs w:val="22"/>
        </w:rPr>
        <w:t xml:space="preserve"> </w:t>
      </w:r>
      <w:r w:rsidRPr="000907C0">
        <w:rPr>
          <w:rFonts w:ascii="Tahoma" w:hAnsi="Tahoma" w:cs="Tahoma"/>
          <w:szCs w:val="22"/>
        </w:rPr>
        <w:t xml:space="preserve">die </w:t>
      </w:r>
      <w:r w:rsidR="00EC28F0" w:rsidRPr="000907C0">
        <w:rPr>
          <w:rFonts w:ascii="Tahoma" w:hAnsi="Tahoma" w:cs="Tahoma"/>
          <w:szCs w:val="22"/>
        </w:rPr>
        <w:t xml:space="preserve">Einführung einer neuen </w:t>
      </w:r>
      <w:r w:rsidRPr="000907C0">
        <w:rPr>
          <w:rFonts w:ascii="Tahoma" w:hAnsi="Tahoma" w:cs="Tahoma"/>
          <w:szCs w:val="22"/>
        </w:rPr>
        <w:t xml:space="preserve">Marinemunition </w:t>
      </w:r>
      <w:r w:rsidR="00EC28F0" w:rsidRPr="000907C0">
        <w:rPr>
          <w:rFonts w:ascii="Tahoma" w:hAnsi="Tahoma" w:cs="Tahoma"/>
          <w:szCs w:val="22"/>
        </w:rPr>
        <w:t xml:space="preserve">am Markt. </w:t>
      </w:r>
      <w:r w:rsidR="0081339D" w:rsidRPr="000907C0">
        <w:rPr>
          <w:rFonts w:ascii="Tahoma" w:hAnsi="Tahoma" w:cs="Tahoma"/>
          <w:szCs w:val="22"/>
        </w:rPr>
        <w:t>Die Munitionsfamilie umfasst auße</w:t>
      </w:r>
      <w:r w:rsidR="000907C0">
        <w:rPr>
          <w:rFonts w:ascii="Tahoma" w:hAnsi="Tahoma" w:cs="Tahoma"/>
          <w:szCs w:val="22"/>
        </w:rPr>
        <w:t xml:space="preserve">rdem Spreng(HE)- und </w:t>
      </w:r>
      <w:proofErr w:type="spellStart"/>
      <w:r w:rsidR="000907C0">
        <w:rPr>
          <w:rFonts w:ascii="Tahoma" w:hAnsi="Tahoma" w:cs="Tahoma"/>
          <w:szCs w:val="22"/>
        </w:rPr>
        <w:t>Leucht</w:t>
      </w:r>
      <w:proofErr w:type="spellEnd"/>
      <w:r w:rsidR="000907C0">
        <w:rPr>
          <w:rFonts w:ascii="Tahoma" w:hAnsi="Tahoma" w:cs="Tahoma"/>
          <w:szCs w:val="22"/>
        </w:rPr>
        <w:t>(ILL</w:t>
      </w:r>
      <w:r w:rsidR="0081339D" w:rsidRPr="000907C0">
        <w:rPr>
          <w:rFonts w:ascii="Tahoma" w:hAnsi="Tahoma" w:cs="Tahoma"/>
          <w:szCs w:val="22"/>
        </w:rPr>
        <w:t xml:space="preserve">)-Geschosse </w:t>
      </w:r>
      <w:r w:rsidR="002249AB">
        <w:rPr>
          <w:rFonts w:ascii="Tahoma" w:hAnsi="Tahoma" w:cs="Tahoma"/>
          <w:szCs w:val="22"/>
        </w:rPr>
        <w:t>inklusive</w:t>
      </w:r>
      <w:r w:rsidR="0081339D" w:rsidRPr="000907C0">
        <w:rPr>
          <w:rFonts w:ascii="Tahoma" w:hAnsi="Tahoma" w:cs="Tahoma"/>
          <w:szCs w:val="22"/>
        </w:rPr>
        <w:t xml:space="preserve"> zugehöriger Treibladungen. </w:t>
      </w:r>
    </w:p>
    <w:p w:rsidR="0039262A" w:rsidRPr="000907C0" w:rsidRDefault="0039262A" w:rsidP="00B73C5B">
      <w:pPr>
        <w:rPr>
          <w:rFonts w:ascii="Tahoma" w:hAnsi="Tahoma" w:cs="Tahoma"/>
          <w:szCs w:val="22"/>
        </w:rPr>
      </w:pPr>
      <w:r w:rsidRPr="000907C0">
        <w:rPr>
          <w:rFonts w:ascii="Tahoma" w:hAnsi="Tahoma" w:cs="Tahoma"/>
          <w:szCs w:val="22"/>
        </w:rPr>
        <w:t xml:space="preserve">Die Auslieferung des Pilotloses der Übungsmunition ist </w:t>
      </w:r>
      <w:r w:rsidR="00AA6738">
        <w:rPr>
          <w:rFonts w:ascii="Tahoma" w:hAnsi="Tahoma" w:cs="Tahoma"/>
          <w:szCs w:val="22"/>
        </w:rPr>
        <w:t xml:space="preserve">ab </w:t>
      </w:r>
      <w:r w:rsidRPr="000907C0">
        <w:rPr>
          <w:rFonts w:ascii="Tahoma" w:hAnsi="Tahoma" w:cs="Tahoma"/>
          <w:szCs w:val="22"/>
        </w:rPr>
        <w:t xml:space="preserve">2021 geplant, gefolgt von </w:t>
      </w:r>
      <w:r w:rsidR="00AA6738">
        <w:rPr>
          <w:rFonts w:ascii="Tahoma" w:hAnsi="Tahoma" w:cs="Tahoma"/>
          <w:szCs w:val="22"/>
        </w:rPr>
        <w:t>mehreren</w:t>
      </w:r>
      <w:r w:rsidRPr="000907C0">
        <w:rPr>
          <w:rFonts w:ascii="Tahoma" w:hAnsi="Tahoma" w:cs="Tahoma"/>
          <w:szCs w:val="22"/>
        </w:rPr>
        <w:t xml:space="preserve"> Serienlosen im Zeitraum 2022 bis 2025</w:t>
      </w:r>
      <w:r w:rsidR="001D34D0" w:rsidRPr="000907C0">
        <w:rPr>
          <w:rFonts w:ascii="Tahoma" w:hAnsi="Tahoma" w:cs="Tahoma"/>
          <w:szCs w:val="22"/>
        </w:rPr>
        <w:t xml:space="preserve"> mit insgesamt ca. 7.000 Geschossen</w:t>
      </w:r>
      <w:r w:rsidRPr="000907C0">
        <w:rPr>
          <w:rFonts w:ascii="Tahoma" w:hAnsi="Tahoma" w:cs="Tahoma"/>
          <w:szCs w:val="22"/>
        </w:rPr>
        <w:t xml:space="preserve">. </w:t>
      </w:r>
      <w:r w:rsidR="001D34D0" w:rsidRPr="000907C0">
        <w:rPr>
          <w:rFonts w:ascii="Tahoma" w:hAnsi="Tahoma" w:cs="Tahoma"/>
          <w:szCs w:val="22"/>
        </w:rPr>
        <w:t>Einschließlich der Option für weitere Lieferungen könnte sich die Gesamtstückzahl im Rahmen der b</w:t>
      </w:r>
      <w:r w:rsidRPr="000907C0">
        <w:rPr>
          <w:rFonts w:ascii="Tahoma" w:hAnsi="Tahoma" w:cs="Tahoma"/>
          <w:szCs w:val="22"/>
        </w:rPr>
        <w:t>is 2027 laufende</w:t>
      </w:r>
      <w:r w:rsidR="00D43905">
        <w:rPr>
          <w:rFonts w:ascii="Tahoma" w:hAnsi="Tahoma" w:cs="Tahoma"/>
          <w:szCs w:val="22"/>
        </w:rPr>
        <w:t>n</w:t>
      </w:r>
      <w:r w:rsidRPr="000907C0">
        <w:rPr>
          <w:rFonts w:ascii="Tahoma" w:hAnsi="Tahoma" w:cs="Tahoma"/>
          <w:szCs w:val="22"/>
        </w:rPr>
        <w:t xml:space="preserve"> Vereinbarung </w:t>
      </w:r>
      <w:r w:rsidR="001D34D0" w:rsidRPr="000907C0">
        <w:rPr>
          <w:rFonts w:ascii="Tahoma" w:hAnsi="Tahoma" w:cs="Tahoma"/>
          <w:szCs w:val="22"/>
        </w:rPr>
        <w:t xml:space="preserve">auf </w:t>
      </w:r>
      <w:r w:rsidRPr="000907C0">
        <w:rPr>
          <w:rFonts w:ascii="Tahoma" w:hAnsi="Tahoma" w:cs="Tahoma"/>
          <w:szCs w:val="22"/>
        </w:rPr>
        <w:t>bis zu 13.000 Geschossen</w:t>
      </w:r>
      <w:r w:rsidR="001D34D0" w:rsidRPr="000907C0">
        <w:rPr>
          <w:rFonts w:ascii="Tahoma" w:hAnsi="Tahoma" w:cs="Tahoma"/>
          <w:szCs w:val="22"/>
        </w:rPr>
        <w:t xml:space="preserve"> erhöhen</w:t>
      </w:r>
      <w:r w:rsidRPr="000907C0">
        <w:rPr>
          <w:rFonts w:ascii="Tahoma" w:hAnsi="Tahoma" w:cs="Tahoma"/>
          <w:szCs w:val="22"/>
        </w:rPr>
        <w:t xml:space="preserve">. </w:t>
      </w:r>
    </w:p>
    <w:p w:rsidR="00E0000A" w:rsidRPr="000907C0" w:rsidRDefault="00E0000A" w:rsidP="00B73C5B">
      <w:pPr>
        <w:rPr>
          <w:rFonts w:ascii="Tahoma" w:hAnsi="Tahoma" w:cs="Tahoma"/>
          <w:szCs w:val="22"/>
        </w:rPr>
      </w:pPr>
      <w:r w:rsidRPr="000907C0">
        <w:rPr>
          <w:rFonts w:ascii="Tahoma" w:hAnsi="Tahoma" w:cs="Tahoma"/>
          <w:szCs w:val="22"/>
        </w:rPr>
        <w:t xml:space="preserve">Die </w:t>
      </w:r>
      <w:r w:rsidR="002937A8" w:rsidRPr="000907C0">
        <w:rPr>
          <w:rFonts w:ascii="Tahoma" w:hAnsi="Tahoma" w:cs="Tahoma"/>
          <w:szCs w:val="22"/>
        </w:rPr>
        <w:t xml:space="preserve">Sprengmunition </w:t>
      </w:r>
      <w:r w:rsidRPr="000907C0">
        <w:rPr>
          <w:rFonts w:ascii="Tahoma" w:hAnsi="Tahoma" w:cs="Tahoma"/>
          <w:szCs w:val="22"/>
        </w:rPr>
        <w:t>befindet sich noch in der Qualifikation bei der Wehrtechnischen Dienststelle 91 in Meppen</w:t>
      </w:r>
      <w:r w:rsidR="002B653C" w:rsidRPr="000907C0">
        <w:rPr>
          <w:rFonts w:ascii="Tahoma" w:hAnsi="Tahoma" w:cs="Tahoma"/>
          <w:szCs w:val="22"/>
        </w:rPr>
        <w:t xml:space="preserve">. Der </w:t>
      </w:r>
      <w:r w:rsidRPr="000907C0">
        <w:rPr>
          <w:rFonts w:ascii="Tahoma" w:hAnsi="Tahoma" w:cs="Tahoma"/>
          <w:szCs w:val="22"/>
        </w:rPr>
        <w:t xml:space="preserve">Abschluss </w:t>
      </w:r>
      <w:r w:rsidR="0016245E" w:rsidRPr="000907C0">
        <w:rPr>
          <w:rFonts w:ascii="Tahoma" w:hAnsi="Tahoma" w:cs="Tahoma"/>
          <w:szCs w:val="22"/>
        </w:rPr>
        <w:t xml:space="preserve">des Performance-Nachweises </w:t>
      </w:r>
      <w:r w:rsidR="002B653C" w:rsidRPr="000907C0">
        <w:rPr>
          <w:rFonts w:ascii="Tahoma" w:hAnsi="Tahoma" w:cs="Tahoma"/>
          <w:szCs w:val="22"/>
        </w:rPr>
        <w:t xml:space="preserve">wird </w:t>
      </w:r>
      <w:r w:rsidR="00AA6738">
        <w:rPr>
          <w:rFonts w:ascii="Tahoma" w:hAnsi="Tahoma" w:cs="Tahoma"/>
          <w:szCs w:val="22"/>
        </w:rPr>
        <w:t>für</w:t>
      </w:r>
      <w:r w:rsidRPr="000907C0">
        <w:rPr>
          <w:rFonts w:ascii="Tahoma" w:hAnsi="Tahoma" w:cs="Tahoma"/>
          <w:szCs w:val="22"/>
        </w:rPr>
        <w:t xml:space="preserve"> nächste</w:t>
      </w:r>
      <w:r w:rsidR="00AA6738">
        <w:rPr>
          <w:rFonts w:ascii="Tahoma" w:hAnsi="Tahoma" w:cs="Tahoma"/>
          <w:szCs w:val="22"/>
        </w:rPr>
        <w:t>s Jahr</w:t>
      </w:r>
      <w:r w:rsidRPr="000907C0">
        <w:rPr>
          <w:rFonts w:ascii="Tahoma" w:hAnsi="Tahoma" w:cs="Tahoma"/>
          <w:szCs w:val="22"/>
        </w:rPr>
        <w:t xml:space="preserve"> erwartet. </w:t>
      </w:r>
      <w:r w:rsidR="005534B4" w:rsidRPr="000907C0">
        <w:rPr>
          <w:rFonts w:ascii="Tahoma" w:hAnsi="Tahoma" w:cs="Tahoma"/>
          <w:szCs w:val="22"/>
        </w:rPr>
        <w:t>In Verbindung mit der verbesserten Treibladung ermöglicht die</w:t>
      </w:r>
      <w:r w:rsidRPr="000907C0">
        <w:rPr>
          <w:rFonts w:ascii="Tahoma" w:hAnsi="Tahoma" w:cs="Tahoma"/>
          <w:szCs w:val="22"/>
        </w:rPr>
        <w:t xml:space="preserve"> </w:t>
      </w:r>
      <w:r w:rsidR="0016245E" w:rsidRPr="000907C0">
        <w:rPr>
          <w:rFonts w:ascii="Tahoma" w:hAnsi="Tahoma" w:cs="Tahoma"/>
          <w:szCs w:val="22"/>
        </w:rPr>
        <w:t xml:space="preserve">neue </w:t>
      </w:r>
      <w:r w:rsidR="005534B4" w:rsidRPr="000907C0">
        <w:rPr>
          <w:rFonts w:ascii="Tahoma" w:hAnsi="Tahoma" w:cs="Tahoma"/>
          <w:szCs w:val="22"/>
        </w:rPr>
        <w:t>Munitionsfamilie</w:t>
      </w:r>
      <w:r w:rsidRPr="000907C0">
        <w:rPr>
          <w:rFonts w:ascii="Tahoma" w:hAnsi="Tahoma" w:cs="Tahoma"/>
          <w:szCs w:val="22"/>
        </w:rPr>
        <w:t xml:space="preserve"> </w:t>
      </w:r>
      <w:r w:rsidR="005534B4" w:rsidRPr="000907C0">
        <w:rPr>
          <w:rFonts w:ascii="Tahoma" w:hAnsi="Tahoma" w:cs="Tahoma"/>
          <w:szCs w:val="22"/>
        </w:rPr>
        <w:t xml:space="preserve">eine </w:t>
      </w:r>
      <w:r w:rsidR="00AA6738">
        <w:rPr>
          <w:rFonts w:ascii="Tahoma" w:hAnsi="Tahoma" w:cs="Tahoma"/>
          <w:szCs w:val="22"/>
        </w:rPr>
        <w:t xml:space="preserve">deutliche </w:t>
      </w:r>
      <w:r w:rsidR="0016245E" w:rsidRPr="000907C0">
        <w:rPr>
          <w:rFonts w:ascii="Tahoma" w:hAnsi="Tahoma" w:cs="Tahoma"/>
          <w:szCs w:val="22"/>
        </w:rPr>
        <w:t>Reichweite</w:t>
      </w:r>
      <w:r w:rsidR="005534B4" w:rsidRPr="000907C0">
        <w:rPr>
          <w:rFonts w:ascii="Tahoma" w:hAnsi="Tahoma" w:cs="Tahoma"/>
          <w:szCs w:val="22"/>
        </w:rPr>
        <w:t>nsteigerung</w:t>
      </w:r>
      <w:r w:rsidR="0016245E" w:rsidRPr="000907C0">
        <w:rPr>
          <w:rFonts w:ascii="Tahoma" w:hAnsi="Tahoma" w:cs="Tahoma"/>
          <w:szCs w:val="22"/>
        </w:rPr>
        <w:t xml:space="preserve"> der Schiffsartillerie. </w:t>
      </w:r>
      <w:r w:rsidR="004C186E" w:rsidRPr="000907C0">
        <w:rPr>
          <w:rFonts w:ascii="Tahoma" w:hAnsi="Tahoma" w:cs="Tahoma"/>
          <w:szCs w:val="22"/>
        </w:rPr>
        <w:t xml:space="preserve">Die </w:t>
      </w:r>
      <w:r w:rsidR="00AA6738">
        <w:rPr>
          <w:rFonts w:ascii="Tahoma" w:hAnsi="Tahoma" w:cs="Tahoma"/>
          <w:szCs w:val="22"/>
        </w:rPr>
        <w:t>K</w:t>
      </w:r>
      <w:r w:rsidR="004C186E" w:rsidRPr="000907C0">
        <w:rPr>
          <w:rFonts w:ascii="Tahoma" w:hAnsi="Tahoma" w:cs="Tahoma"/>
          <w:szCs w:val="22"/>
        </w:rPr>
        <w:t>onstrukti</w:t>
      </w:r>
      <w:r w:rsidR="00AA6738">
        <w:rPr>
          <w:rFonts w:ascii="Tahoma" w:hAnsi="Tahoma" w:cs="Tahoma"/>
          <w:szCs w:val="22"/>
        </w:rPr>
        <w:t>on</w:t>
      </w:r>
      <w:r w:rsidR="004C186E" w:rsidRPr="000907C0">
        <w:rPr>
          <w:rFonts w:ascii="Tahoma" w:hAnsi="Tahoma" w:cs="Tahoma"/>
          <w:szCs w:val="22"/>
        </w:rPr>
        <w:t xml:space="preserve"> der Gefechtsmunition verhindert zusammen mit der Verwendung eines </w:t>
      </w:r>
      <w:proofErr w:type="spellStart"/>
      <w:r w:rsidRPr="000907C0">
        <w:rPr>
          <w:rFonts w:ascii="Tahoma" w:hAnsi="Tahoma" w:cs="Tahoma"/>
          <w:szCs w:val="22"/>
        </w:rPr>
        <w:t>insensitiven</w:t>
      </w:r>
      <w:proofErr w:type="spellEnd"/>
      <w:r w:rsidRPr="000907C0">
        <w:rPr>
          <w:rFonts w:ascii="Tahoma" w:hAnsi="Tahoma" w:cs="Tahoma"/>
          <w:szCs w:val="22"/>
        </w:rPr>
        <w:t xml:space="preserve"> Explosivstoff</w:t>
      </w:r>
      <w:r w:rsidR="004C186E" w:rsidRPr="000907C0">
        <w:rPr>
          <w:rFonts w:ascii="Tahoma" w:hAnsi="Tahoma" w:cs="Tahoma"/>
          <w:szCs w:val="22"/>
        </w:rPr>
        <w:t>s</w:t>
      </w:r>
      <w:r w:rsidRPr="000907C0">
        <w:rPr>
          <w:rFonts w:ascii="Tahoma" w:hAnsi="Tahoma" w:cs="Tahoma"/>
          <w:szCs w:val="22"/>
        </w:rPr>
        <w:t xml:space="preserve"> </w:t>
      </w:r>
      <w:r w:rsidR="000907C0">
        <w:rPr>
          <w:rFonts w:ascii="Tahoma" w:hAnsi="Tahoma" w:cs="Tahoma"/>
          <w:szCs w:val="22"/>
        </w:rPr>
        <w:t>die</w:t>
      </w:r>
      <w:r w:rsidRPr="000907C0">
        <w:rPr>
          <w:rFonts w:ascii="Tahoma" w:hAnsi="Tahoma" w:cs="Tahoma"/>
          <w:szCs w:val="22"/>
        </w:rPr>
        <w:t xml:space="preserve"> </w:t>
      </w:r>
      <w:r w:rsidR="004C186E" w:rsidRPr="000907C0">
        <w:rPr>
          <w:rFonts w:ascii="Tahoma" w:hAnsi="Tahoma" w:cs="Tahoma"/>
          <w:szCs w:val="22"/>
        </w:rPr>
        <w:t xml:space="preserve">ungewollte </w:t>
      </w:r>
      <w:r w:rsidRPr="000907C0">
        <w:rPr>
          <w:rFonts w:ascii="Tahoma" w:hAnsi="Tahoma" w:cs="Tahoma"/>
          <w:szCs w:val="22"/>
        </w:rPr>
        <w:t xml:space="preserve">Umsetzung (Detonation) z. B. bei Fremdbeschuss oder Feuer an Bord. </w:t>
      </w:r>
      <w:r w:rsidR="002B653C" w:rsidRPr="000907C0">
        <w:rPr>
          <w:rFonts w:ascii="Tahoma" w:hAnsi="Tahoma" w:cs="Tahoma"/>
          <w:szCs w:val="22"/>
        </w:rPr>
        <w:t xml:space="preserve">Dies ist ein Beitrag zum Schutz der Crew und </w:t>
      </w:r>
      <w:r w:rsidR="004C186E" w:rsidRPr="000907C0">
        <w:rPr>
          <w:rFonts w:ascii="Tahoma" w:hAnsi="Tahoma" w:cs="Tahoma"/>
          <w:szCs w:val="22"/>
        </w:rPr>
        <w:t xml:space="preserve">sorgt </w:t>
      </w:r>
      <w:r w:rsidR="002B653C" w:rsidRPr="000907C0">
        <w:rPr>
          <w:rFonts w:ascii="Tahoma" w:hAnsi="Tahoma" w:cs="Tahoma"/>
          <w:szCs w:val="22"/>
        </w:rPr>
        <w:t xml:space="preserve">für mehr Sicherheit an Bord. </w:t>
      </w:r>
      <w:r w:rsidR="004C186E" w:rsidRPr="000907C0">
        <w:rPr>
          <w:rFonts w:ascii="Tahoma" w:hAnsi="Tahoma" w:cs="Tahoma"/>
          <w:szCs w:val="22"/>
        </w:rPr>
        <w:t xml:space="preserve">Darüber hinaus </w:t>
      </w:r>
      <w:r w:rsidR="00AA6738">
        <w:rPr>
          <w:rFonts w:ascii="Tahoma" w:hAnsi="Tahoma" w:cs="Tahoma"/>
          <w:szCs w:val="22"/>
        </w:rPr>
        <w:t>wird</w:t>
      </w:r>
      <w:r w:rsidR="004C186E" w:rsidRPr="000907C0">
        <w:rPr>
          <w:rFonts w:ascii="Tahoma" w:hAnsi="Tahoma" w:cs="Tahoma"/>
          <w:szCs w:val="22"/>
        </w:rPr>
        <w:t xml:space="preserve"> die Sprengmunition mit einem multifunktionalen Zünder des italienischen Industriepartners Leonardo ausgerüstet. </w:t>
      </w:r>
    </w:p>
    <w:p w:rsidR="002B653C" w:rsidRDefault="002B653C" w:rsidP="00B73C5B">
      <w:pPr>
        <w:rPr>
          <w:rFonts w:ascii="Tahoma" w:hAnsi="Tahoma" w:cs="Tahoma"/>
          <w:sz w:val="20"/>
        </w:rPr>
      </w:pPr>
      <w:r w:rsidRPr="000907C0">
        <w:rPr>
          <w:rFonts w:ascii="Tahoma" w:hAnsi="Tahoma" w:cs="Tahoma"/>
          <w:szCs w:val="22"/>
        </w:rPr>
        <w:t xml:space="preserve">Auch die Leuchtmunition zur Gefechtsfeldbeleuchtung, bei der Diehl </w:t>
      </w:r>
      <w:proofErr w:type="spellStart"/>
      <w:r w:rsidR="002937A8" w:rsidRPr="000907C0">
        <w:rPr>
          <w:rFonts w:ascii="Tahoma" w:hAnsi="Tahoma" w:cs="Tahoma"/>
          <w:szCs w:val="22"/>
        </w:rPr>
        <w:t>Defence</w:t>
      </w:r>
      <w:proofErr w:type="spellEnd"/>
      <w:r w:rsidR="002937A8" w:rsidRPr="000907C0">
        <w:rPr>
          <w:rFonts w:ascii="Tahoma" w:hAnsi="Tahoma" w:cs="Tahoma"/>
          <w:szCs w:val="22"/>
        </w:rPr>
        <w:t xml:space="preserve"> </w:t>
      </w:r>
      <w:r w:rsidRPr="000907C0">
        <w:rPr>
          <w:rFonts w:ascii="Tahoma" w:hAnsi="Tahoma" w:cs="Tahoma"/>
          <w:szCs w:val="22"/>
        </w:rPr>
        <w:t xml:space="preserve">mit dem spanischen Industriepartner EXPAL zusammenarbeitet, befindet sich aktuell in der Qualifikation. </w:t>
      </w:r>
    </w:p>
    <w:p w:rsidR="0039262A" w:rsidRDefault="0039262A" w:rsidP="00B73C5B">
      <w:pPr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A26E4C" w:rsidRDefault="00A26E4C" w:rsidP="00A74A8A">
      <w:pPr>
        <w:spacing w:line="240" w:lineRule="atLeast"/>
        <w:rPr>
          <w:rFonts w:ascii="Tahoma" w:hAnsi="Tahoma" w:cs="Tahoma"/>
          <w:b/>
          <w:sz w:val="18"/>
          <w:szCs w:val="18"/>
        </w:rPr>
      </w:pPr>
      <w:r w:rsidRPr="00A26E4C">
        <w:rPr>
          <w:rFonts w:ascii="Tahoma" w:hAnsi="Tahoma" w:cs="Tahoma"/>
          <w:b/>
          <w:sz w:val="18"/>
          <w:szCs w:val="18"/>
        </w:rPr>
        <w:t xml:space="preserve">Über Diehl </w:t>
      </w:r>
      <w:proofErr w:type="spellStart"/>
      <w:r w:rsidRPr="00A26E4C">
        <w:rPr>
          <w:rFonts w:ascii="Tahoma" w:hAnsi="Tahoma" w:cs="Tahoma"/>
          <w:b/>
          <w:sz w:val="18"/>
          <w:szCs w:val="18"/>
        </w:rPr>
        <w:t>Defence</w:t>
      </w:r>
      <w:proofErr w:type="spellEnd"/>
    </w:p>
    <w:p w:rsidR="00A74A8A" w:rsidRPr="00FB26C4" w:rsidRDefault="00A74A8A" w:rsidP="00A74A8A">
      <w:pPr>
        <w:spacing w:line="240" w:lineRule="atLeast"/>
        <w:rPr>
          <w:rFonts w:ascii="Tahoma" w:hAnsi="Tahoma" w:cs="Tahoma"/>
          <w:sz w:val="18"/>
          <w:szCs w:val="18"/>
        </w:rPr>
      </w:pPr>
      <w:r w:rsidRPr="00FB26C4">
        <w:rPr>
          <w:rFonts w:ascii="Tahoma" w:hAnsi="Tahoma" w:cs="Tahoma"/>
          <w:sz w:val="18"/>
          <w:szCs w:val="18"/>
        </w:rPr>
        <w:t xml:space="preserve">Diehl </w:t>
      </w:r>
      <w:proofErr w:type="spellStart"/>
      <w:r w:rsidRPr="00FB26C4">
        <w:rPr>
          <w:rFonts w:ascii="Tahoma" w:hAnsi="Tahoma" w:cs="Tahoma"/>
          <w:sz w:val="18"/>
          <w:szCs w:val="18"/>
        </w:rPr>
        <w:t>Defence</w:t>
      </w:r>
      <w:proofErr w:type="spellEnd"/>
      <w:r w:rsidRPr="00FB26C4">
        <w:rPr>
          <w:rFonts w:ascii="Tahoma" w:hAnsi="Tahoma" w:cs="Tahoma"/>
          <w:sz w:val="18"/>
          <w:szCs w:val="18"/>
        </w:rPr>
        <w:t xml:space="preserve"> bündelt die Geschäftsaktivitäten der Diehl-Gruppe in den Bereichen Sicherheit und Verteidigung. Als Führungsgesellschaft steuert Diehl </w:t>
      </w:r>
      <w:proofErr w:type="spellStart"/>
      <w:r w:rsidRPr="00FB26C4">
        <w:rPr>
          <w:rFonts w:ascii="Tahoma" w:hAnsi="Tahoma" w:cs="Tahoma"/>
          <w:sz w:val="18"/>
          <w:szCs w:val="18"/>
        </w:rPr>
        <w:t>Defence</w:t>
      </w:r>
      <w:proofErr w:type="spellEnd"/>
      <w:r w:rsidRPr="00FB26C4">
        <w:rPr>
          <w:rFonts w:ascii="Tahoma" w:hAnsi="Tahoma" w:cs="Tahoma"/>
          <w:sz w:val="18"/>
          <w:szCs w:val="18"/>
        </w:rPr>
        <w:t xml:space="preserve"> zahlreiche Tochterunternehmen, Programm- und Beteiligungsgesellschaften. </w:t>
      </w:r>
      <w:r w:rsidR="009F7A33">
        <w:rPr>
          <w:rFonts w:ascii="Tahoma" w:hAnsi="Tahoma" w:cs="Tahoma"/>
          <w:sz w:val="18"/>
          <w:szCs w:val="18"/>
        </w:rPr>
        <w:t>M</w:t>
      </w:r>
      <w:r w:rsidRPr="00FB26C4">
        <w:rPr>
          <w:rFonts w:ascii="Tahoma" w:hAnsi="Tahoma" w:cs="Tahoma"/>
          <w:sz w:val="18"/>
          <w:szCs w:val="18"/>
        </w:rPr>
        <w:t>it</w:t>
      </w:r>
      <w:r w:rsidR="00C66C6B" w:rsidRPr="00FB26C4">
        <w:rPr>
          <w:rFonts w:ascii="Tahoma" w:hAnsi="Tahoma" w:cs="Tahoma"/>
          <w:sz w:val="18"/>
          <w:szCs w:val="18"/>
        </w:rPr>
        <w:t xml:space="preserve"> </w:t>
      </w:r>
      <w:r w:rsidR="00BE1E0D" w:rsidRPr="00FB26C4">
        <w:rPr>
          <w:rFonts w:ascii="Tahoma" w:hAnsi="Tahoma" w:cs="Tahoma"/>
          <w:sz w:val="18"/>
          <w:szCs w:val="18"/>
        </w:rPr>
        <w:t>2</w:t>
      </w:r>
      <w:r w:rsidR="00A73CA6" w:rsidRPr="00FB26C4">
        <w:rPr>
          <w:rFonts w:ascii="Tahoma" w:hAnsi="Tahoma" w:cs="Tahoma"/>
          <w:sz w:val="18"/>
          <w:szCs w:val="18"/>
        </w:rPr>
        <w:t>.</w:t>
      </w:r>
      <w:r w:rsidR="004B0D73">
        <w:rPr>
          <w:rFonts w:ascii="Tahoma" w:hAnsi="Tahoma" w:cs="Tahoma"/>
          <w:sz w:val="18"/>
          <w:szCs w:val="18"/>
        </w:rPr>
        <w:t>7</w:t>
      </w:r>
      <w:r w:rsidR="00EC4678">
        <w:rPr>
          <w:rFonts w:ascii="Tahoma" w:hAnsi="Tahoma" w:cs="Tahoma"/>
          <w:sz w:val="18"/>
          <w:szCs w:val="18"/>
        </w:rPr>
        <w:t>0</w:t>
      </w:r>
      <w:r w:rsidR="00347FDB">
        <w:rPr>
          <w:rFonts w:ascii="Tahoma" w:hAnsi="Tahoma" w:cs="Tahoma"/>
          <w:sz w:val="18"/>
          <w:szCs w:val="18"/>
        </w:rPr>
        <w:t>0</w:t>
      </w:r>
      <w:r w:rsidRPr="00FB26C4">
        <w:rPr>
          <w:rFonts w:ascii="Tahoma" w:hAnsi="Tahoma" w:cs="Tahoma"/>
          <w:sz w:val="18"/>
          <w:szCs w:val="18"/>
        </w:rPr>
        <w:t xml:space="preserve"> Beschäftigten </w:t>
      </w:r>
      <w:r w:rsidR="009F7A33">
        <w:rPr>
          <w:rFonts w:ascii="Tahoma" w:hAnsi="Tahoma" w:cs="Tahoma"/>
          <w:sz w:val="18"/>
          <w:szCs w:val="18"/>
        </w:rPr>
        <w:t xml:space="preserve">erzielt Diehl </w:t>
      </w:r>
      <w:proofErr w:type="spellStart"/>
      <w:r w:rsidR="009F7A33">
        <w:rPr>
          <w:rFonts w:ascii="Tahoma" w:hAnsi="Tahoma" w:cs="Tahoma"/>
          <w:sz w:val="18"/>
          <w:szCs w:val="18"/>
        </w:rPr>
        <w:t>Defence</w:t>
      </w:r>
      <w:proofErr w:type="spellEnd"/>
      <w:r w:rsidR="009F7A33">
        <w:rPr>
          <w:rFonts w:ascii="Tahoma" w:hAnsi="Tahoma" w:cs="Tahoma"/>
          <w:sz w:val="18"/>
          <w:szCs w:val="18"/>
        </w:rPr>
        <w:t xml:space="preserve"> </w:t>
      </w:r>
      <w:r w:rsidRPr="00FB26C4">
        <w:rPr>
          <w:rFonts w:ascii="Tahoma" w:hAnsi="Tahoma" w:cs="Tahoma"/>
          <w:sz w:val="18"/>
          <w:szCs w:val="18"/>
        </w:rPr>
        <w:t xml:space="preserve">einen Jahresumsatz von </w:t>
      </w:r>
      <w:r w:rsidR="005E6BE0">
        <w:rPr>
          <w:rFonts w:ascii="Tahoma" w:hAnsi="Tahoma" w:cs="Tahoma"/>
          <w:sz w:val="18"/>
          <w:szCs w:val="18"/>
        </w:rPr>
        <w:t>5</w:t>
      </w:r>
      <w:r w:rsidR="004B0D73">
        <w:rPr>
          <w:rFonts w:ascii="Tahoma" w:hAnsi="Tahoma" w:cs="Tahoma"/>
          <w:sz w:val="18"/>
          <w:szCs w:val="18"/>
        </w:rPr>
        <w:t>6</w:t>
      </w:r>
      <w:r w:rsidR="00347FDB">
        <w:rPr>
          <w:rFonts w:ascii="Tahoma" w:hAnsi="Tahoma" w:cs="Tahoma"/>
          <w:sz w:val="18"/>
          <w:szCs w:val="18"/>
        </w:rPr>
        <w:t>0</w:t>
      </w:r>
      <w:r w:rsidRPr="00FB26C4">
        <w:rPr>
          <w:rFonts w:ascii="Tahoma" w:hAnsi="Tahoma" w:cs="Tahoma"/>
          <w:sz w:val="18"/>
          <w:szCs w:val="18"/>
        </w:rPr>
        <w:t xml:space="preserve"> Mio. Euro.</w:t>
      </w:r>
      <w:r w:rsidR="00EC4678">
        <w:rPr>
          <w:rFonts w:ascii="Tahoma" w:hAnsi="Tahoma" w:cs="Tahoma"/>
          <w:sz w:val="18"/>
          <w:szCs w:val="18"/>
        </w:rPr>
        <w:br/>
      </w:r>
    </w:p>
    <w:p w:rsidR="000907C0" w:rsidRDefault="000907C0" w:rsidP="00A74A8A">
      <w:pPr>
        <w:spacing w:line="240" w:lineRule="auto"/>
        <w:rPr>
          <w:sz w:val="18"/>
          <w:szCs w:val="18"/>
        </w:rPr>
      </w:pPr>
      <w:r w:rsidRPr="000907C0">
        <w:rPr>
          <w:rFonts w:ascii="Tahoma" w:hAnsi="Tahoma" w:cs="Tahoma"/>
          <w:b/>
          <w:noProof/>
          <w:sz w:val="20"/>
        </w:rPr>
        <w:lastRenderedPageBreak/>
        <w:drawing>
          <wp:inline distT="0" distB="0" distL="0" distR="0" wp14:anchorId="1F7BF87C" wp14:editId="71F881F1">
            <wp:extent cx="5653024" cy="4143870"/>
            <wp:effectExtent l="0" t="0" r="508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1541" cy="421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C0" w:rsidRDefault="000907C0" w:rsidP="00A74A8A">
      <w:pPr>
        <w:spacing w:line="240" w:lineRule="auto"/>
        <w:rPr>
          <w:sz w:val="18"/>
          <w:szCs w:val="18"/>
        </w:rPr>
      </w:pPr>
    </w:p>
    <w:p w:rsidR="000907C0" w:rsidRPr="000907C0" w:rsidRDefault="00A35411" w:rsidP="00A74A8A">
      <w:pPr>
        <w:spacing w:line="24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Bild</w:t>
      </w:r>
      <w:r w:rsidR="00D43905">
        <w:rPr>
          <w:rFonts w:ascii="Tahoma" w:hAnsi="Tahoma" w:cs="Tahoma"/>
          <w:szCs w:val="22"/>
        </w:rPr>
        <w:t xml:space="preserve"> (Diehl </w:t>
      </w:r>
      <w:proofErr w:type="spellStart"/>
      <w:r w:rsidR="00D43905">
        <w:rPr>
          <w:rFonts w:ascii="Tahoma" w:hAnsi="Tahoma" w:cs="Tahoma"/>
          <w:szCs w:val="22"/>
        </w:rPr>
        <w:t>Defence</w:t>
      </w:r>
      <w:proofErr w:type="spellEnd"/>
      <w:r w:rsidR="00D43905">
        <w:rPr>
          <w:rFonts w:ascii="Tahoma" w:hAnsi="Tahoma" w:cs="Tahoma"/>
          <w:szCs w:val="22"/>
        </w:rPr>
        <w:t>)</w:t>
      </w:r>
      <w:r>
        <w:rPr>
          <w:rFonts w:ascii="Tahoma" w:hAnsi="Tahoma" w:cs="Tahoma"/>
          <w:szCs w:val="22"/>
        </w:rPr>
        <w:t xml:space="preserve">: </w:t>
      </w:r>
      <w:r w:rsidR="000907C0" w:rsidRPr="000907C0">
        <w:rPr>
          <w:rFonts w:ascii="Tahoma" w:hAnsi="Tahoma" w:cs="Tahoma"/>
          <w:szCs w:val="22"/>
        </w:rPr>
        <w:t xml:space="preserve">Die </w:t>
      </w:r>
      <w:r w:rsidR="000907C0">
        <w:rPr>
          <w:rFonts w:ascii="Tahoma" w:hAnsi="Tahoma" w:cs="Tahoma"/>
          <w:szCs w:val="22"/>
        </w:rPr>
        <w:t>neue Munit</w:t>
      </w:r>
      <w:r>
        <w:rPr>
          <w:rFonts w:ascii="Tahoma" w:hAnsi="Tahoma" w:cs="Tahoma"/>
          <w:szCs w:val="22"/>
        </w:rPr>
        <w:t>ionsfamilie im Vollkaliber 127 mm</w:t>
      </w:r>
      <w:r w:rsidR="000907C0">
        <w:rPr>
          <w:rFonts w:ascii="Tahoma" w:hAnsi="Tahoma" w:cs="Tahoma"/>
          <w:szCs w:val="22"/>
        </w:rPr>
        <w:t xml:space="preserve"> mit </w:t>
      </w:r>
      <w:r>
        <w:rPr>
          <w:rFonts w:ascii="Tahoma" w:hAnsi="Tahoma" w:cs="Tahoma"/>
          <w:szCs w:val="22"/>
        </w:rPr>
        <w:t>(</w:t>
      </w:r>
      <w:proofErr w:type="spellStart"/>
      <w:r>
        <w:rPr>
          <w:rFonts w:ascii="Tahoma" w:hAnsi="Tahoma" w:cs="Tahoma"/>
          <w:szCs w:val="22"/>
        </w:rPr>
        <w:t>v.l</w:t>
      </w:r>
      <w:proofErr w:type="spellEnd"/>
      <w:r>
        <w:rPr>
          <w:rFonts w:ascii="Tahoma" w:hAnsi="Tahoma" w:cs="Tahoma"/>
          <w:szCs w:val="22"/>
        </w:rPr>
        <w:t xml:space="preserve">.) </w:t>
      </w:r>
      <w:proofErr w:type="spellStart"/>
      <w:r>
        <w:rPr>
          <w:rFonts w:ascii="Tahoma" w:hAnsi="Tahoma" w:cs="Tahoma"/>
          <w:szCs w:val="22"/>
        </w:rPr>
        <w:t>Leucht</w:t>
      </w:r>
      <w:proofErr w:type="spellEnd"/>
      <w:r>
        <w:rPr>
          <w:rFonts w:ascii="Tahoma" w:hAnsi="Tahoma" w:cs="Tahoma"/>
          <w:szCs w:val="22"/>
        </w:rPr>
        <w:t>(ILL</w:t>
      </w:r>
      <w:r w:rsidR="000907C0" w:rsidRPr="000907C0">
        <w:rPr>
          <w:rFonts w:ascii="Tahoma" w:hAnsi="Tahoma" w:cs="Tahoma"/>
          <w:szCs w:val="22"/>
        </w:rPr>
        <w:t>)-</w:t>
      </w:r>
      <w:r>
        <w:rPr>
          <w:rFonts w:ascii="Tahoma" w:hAnsi="Tahoma" w:cs="Tahoma"/>
          <w:szCs w:val="22"/>
        </w:rPr>
        <w:t xml:space="preserve">, </w:t>
      </w:r>
      <w:proofErr w:type="spellStart"/>
      <w:r>
        <w:rPr>
          <w:rFonts w:ascii="Tahoma" w:hAnsi="Tahoma" w:cs="Tahoma"/>
          <w:szCs w:val="22"/>
        </w:rPr>
        <w:t>Übungs</w:t>
      </w:r>
      <w:proofErr w:type="spellEnd"/>
      <w:r>
        <w:rPr>
          <w:rFonts w:ascii="Tahoma" w:hAnsi="Tahoma" w:cs="Tahoma"/>
          <w:szCs w:val="22"/>
        </w:rPr>
        <w:t>(Üb)- und Spreng(HE)-Geschoss</w:t>
      </w:r>
      <w:r w:rsidR="000907C0" w:rsidRPr="000907C0">
        <w:rPr>
          <w:rFonts w:ascii="Tahoma" w:hAnsi="Tahoma" w:cs="Tahoma"/>
          <w:szCs w:val="22"/>
        </w:rPr>
        <w:t xml:space="preserve"> plus </w:t>
      </w:r>
      <w:r>
        <w:rPr>
          <w:rFonts w:ascii="Tahoma" w:hAnsi="Tahoma" w:cs="Tahoma"/>
          <w:szCs w:val="22"/>
        </w:rPr>
        <w:t>Treibladung (liegend)</w:t>
      </w:r>
    </w:p>
    <w:p w:rsidR="00A74A8A" w:rsidRPr="00AD2016" w:rsidRDefault="00A74A8A" w:rsidP="00A74A8A">
      <w:pPr>
        <w:spacing w:line="240" w:lineRule="auto"/>
        <w:rPr>
          <w:sz w:val="18"/>
          <w:szCs w:val="18"/>
        </w:rPr>
      </w:pPr>
      <w:r w:rsidRPr="00AD2016">
        <w:rPr>
          <w:sz w:val="18"/>
          <w:szCs w:val="18"/>
        </w:rPr>
        <w:t>________________________________________________________________________________________________</w:t>
      </w:r>
    </w:p>
    <w:sectPr w:rsidR="00A74A8A" w:rsidRPr="00AD2016">
      <w:headerReference w:type="default" r:id="rId8"/>
      <w:footerReference w:type="default" r:id="rId9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E9C" w:rsidRDefault="00880E9C">
      <w:r>
        <w:separator/>
      </w:r>
    </w:p>
  </w:endnote>
  <w:endnote w:type="continuationSeparator" w:id="0">
    <w:p w:rsidR="00880E9C" w:rsidRDefault="0088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AA" w:rsidRDefault="00286E3B" w:rsidP="005C7136">
    <w:pPr>
      <w:spacing w:line="240" w:lineRule="atLeast"/>
      <w:rPr>
        <w:rFonts w:ascii="Tahoma" w:hAnsi="Tahoma" w:cs="Tahoma"/>
        <w:sz w:val="18"/>
      </w:rPr>
    </w:pPr>
    <w:r w:rsidRPr="00FB26C4">
      <w:rPr>
        <w:rFonts w:ascii="Tahoma" w:hAnsi="Tahoma" w:cs="Tahoma"/>
        <w:sz w:val="18"/>
      </w:rPr>
      <w:t xml:space="preserve">Diehl </w:t>
    </w:r>
    <w:proofErr w:type="spellStart"/>
    <w:r w:rsidRPr="00FB26C4">
      <w:rPr>
        <w:rFonts w:ascii="Tahoma" w:hAnsi="Tahoma" w:cs="Tahoma"/>
        <w:sz w:val="18"/>
      </w:rPr>
      <w:t>Defence</w:t>
    </w:r>
    <w:proofErr w:type="spellEnd"/>
    <w:r w:rsidRPr="00FB26C4">
      <w:rPr>
        <w:rFonts w:ascii="Tahoma" w:hAnsi="Tahoma" w:cs="Tahoma"/>
        <w:sz w:val="18"/>
      </w:rPr>
      <w:t xml:space="preserve"> GmbH</w:t>
    </w:r>
    <w:r w:rsidR="009F7A33">
      <w:rPr>
        <w:rFonts w:ascii="Tahoma" w:hAnsi="Tahoma" w:cs="Tahoma"/>
        <w:sz w:val="18"/>
      </w:rPr>
      <w:t xml:space="preserve"> &amp; Co. KG</w:t>
    </w:r>
    <w:r w:rsidRPr="00FB26C4">
      <w:rPr>
        <w:rFonts w:ascii="Tahoma" w:hAnsi="Tahoma" w:cs="Tahoma"/>
        <w:sz w:val="18"/>
      </w:rPr>
      <w:br/>
    </w:r>
    <w:r w:rsidR="004A1AAA">
      <w:rPr>
        <w:rFonts w:ascii="Tahoma" w:hAnsi="Tahoma" w:cs="Tahoma"/>
        <w:sz w:val="18"/>
      </w:rPr>
      <w:t xml:space="preserve">Alte </w:t>
    </w:r>
    <w:proofErr w:type="spellStart"/>
    <w:r w:rsidR="004A1AAA">
      <w:rPr>
        <w:rFonts w:ascii="Tahoma" w:hAnsi="Tahoma" w:cs="Tahoma"/>
        <w:sz w:val="18"/>
      </w:rPr>
      <w:t>Nußdorfer</w:t>
    </w:r>
    <w:proofErr w:type="spellEnd"/>
    <w:r w:rsidR="004A1AAA">
      <w:rPr>
        <w:rFonts w:ascii="Tahoma" w:hAnsi="Tahoma" w:cs="Tahoma"/>
        <w:sz w:val="18"/>
      </w:rPr>
      <w:t xml:space="preserve"> Straße 13</w:t>
    </w:r>
  </w:p>
  <w:p w:rsidR="00286E3B" w:rsidRPr="00FB26C4" w:rsidRDefault="00286E3B" w:rsidP="005C7136">
    <w:pPr>
      <w:spacing w:line="240" w:lineRule="atLeast"/>
      <w:rPr>
        <w:rFonts w:ascii="Tahoma" w:hAnsi="Tahoma" w:cs="Tahoma"/>
        <w:sz w:val="18"/>
      </w:rPr>
    </w:pPr>
    <w:r w:rsidRPr="00FB26C4">
      <w:rPr>
        <w:rFonts w:ascii="Tahoma" w:hAnsi="Tahoma" w:cs="Tahoma"/>
        <w:sz w:val="18"/>
      </w:rPr>
      <w:t>886</w:t>
    </w:r>
    <w:r w:rsidR="00655B99">
      <w:rPr>
        <w:rFonts w:ascii="Tahoma" w:hAnsi="Tahoma" w:cs="Tahoma"/>
        <w:sz w:val="18"/>
      </w:rPr>
      <w:t>62</w:t>
    </w:r>
    <w:r w:rsidRPr="00FB26C4">
      <w:rPr>
        <w:rFonts w:ascii="Tahoma" w:hAnsi="Tahoma" w:cs="Tahoma"/>
        <w:sz w:val="18"/>
      </w:rPr>
      <w:t xml:space="preserve"> Überlingen</w:t>
    </w:r>
  </w:p>
  <w:p w:rsidR="00286E3B" w:rsidRPr="00FB26C4" w:rsidRDefault="00286E3B" w:rsidP="005C7136">
    <w:pPr>
      <w:spacing w:line="240" w:lineRule="atLeast"/>
      <w:rPr>
        <w:rFonts w:ascii="Tahoma" w:hAnsi="Tahoma" w:cs="Tahoma"/>
        <w:sz w:val="18"/>
        <w:szCs w:val="18"/>
      </w:rPr>
    </w:pPr>
    <w:r w:rsidRPr="00FB26C4">
      <w:rPr>
        <w:rFonts w:ascii="Tahoma" w:hAnsi="Tahoma" w:cs="Tahoma"/>
        <w:sz w:val="18"/>
        <w:szCs w:val="18"/>
      </w:rPr>
      <w:t>Paul Sonnenschein, Leiter Öffentlichkeitsarbeit</w:t>
    </w:r>
    <w:r w:rsidRPr="00FB26C4">
      <w:rPr>
        <w:rFonts w:ascii="Tahoma" w:hAnsi="Tahoma" w:cs="Tahoma"/>
        <w:sz w:val="18"/>
        <w:szCs w:val="18"/>
      </w:rPr>
      <w:br/>
      <w:t xml:space="preserve">Tel. 07551 89-2685, Fax 07551 89-4835, </w:t>
    </w:r>
    <w:r w:rsidR="00DB239E">
      <w:rPr>
        <w:rFonts w:ascii="Tahoma" w:hAnsi="Tahoma" w:cs="Tahoma"/>
        <w:sz w:val="18"/>
        <w:szCs w:val="18"/>
      </w:rPr>
      <w:br/>
    </w:r>
    <w:hyperlink r:id="rId1" w:history="1">
      <w:r w:rsidR="00B52008" w:rsidRPr="00060EB1">
        <w:rPr>
          <w:rStyle w:val="Hyperlink"/>
          <w:rFonts w:ascii="Tahoma" w:hAnsi="Tahoma" w:cs="Tahoma"/>
          <w:sz w:val="18"/>
          <w:szCs w:val="18"/>
        </w:rPr>
        <w:t>pr@diehl-defence.</w:t>
      </w:r>
    </w:hyperlink>
    <w:r w:rsidR="009F7A33">
      <w:rPr>
        <w:rStyle w:val="Hyperlink"/>
        <w:rFonts w:ascii="Tahoma" w:hAnsi="Tahoma" w:cs="Tahoma"/>
        <w:sz w:val="18"/>
        <w:szCs w:val="18"/>
      </w:rPr>
      <w:t>com</w:t>
    </w:r>
    <w:r w:rsidRPr="00FB26C4">
      <w:rPr>
        <w:rFonts w:ascii="Tahoma" w:hAnsi="Tahoma" w:cs="Tahoma"/>
        <w:sz w:val="18"/>
        <w:szCs w:val="18"/>
      </w:rPr>
      <w:br/>
    </w:r>
    <w:hyperlink r:id="rId2" w:history="1">
      <w:r w:rsidRPr="00FB26C4">
        <w:rPr>
          <w:rStyle w:val="Hyperlink"/>
          <w:rFonts w:ascii="Tahoma" w:hAnsi="Tahoma" w:cs="Tahoma"/>
          <w:color w:val="000000"/>
          <w:sz w:val="18"/>
          <w:szCs w:val="18"/>
          <w:u w:val="none"/>
        </w:rPr>
        <w:t>www.diehl.</w:t>
      </w:r>
    </w:hyperlink>
    <w:r w:rsidRPr="00FB26C4">
      <w:rPr>
        <w:rFonts w:ascii="Tahoma" w:hAnsi="Tahoma" w:cs="Tahoma"/>
        <w:color w:val="000000"/>
        <w:sz w:val="18"/>
        <w:szCs w:val="18"/>
      </w:rPr>
      <w:t>com</w:t>
    </w:r>
  </w:p>
  <w:p w:rsidR="00286E3B" w:rsidRDefault="00286E3B">
    <w:pPr>
      <w:pStyle w:val="Fuzeile"/>
      <w:rPr>
        <w:sz w:val="18"/>
        <w:szCs w:val="18"/>
      </w:rPr>
    </w:pPr>
  </w:p>
  <w:p w:rsidR="00286E3B" w:rsidRDefault="00286E3B">
    <w:pPr>
      <w:pStyle w:val="Fuzeile"/>
      <w:rPr>
        <w:sz w:val="18"/>
        <w:szCs w:val="18"/>
      </w:rPr>
    </w:pPr>
  </w:p>
  <w:p w:rsidR="00286E3B" w:rsidRPr="004F7217" w:rsidRDefault="00286E3B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E9C" w:rsidRDefault="00880E9C">
      <w:r>
        <w:separator/>
      </w:r>
    </w:p>
  </w:footnote>
  <w:footnote w:type="continuationSeparator" w:id="0">
    <w:p w:rsidR="00880E9C" w:rsidRDefault="00880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3B" w:rsidRDefault="00183D61">
    <w:pPr>
      <w:pStyle w:val="Kopfzeile"/>
    </w:pPr>
    <w:r>
      <w:rPr>
        <w:noProof/>
      </w:rPr>
      <w:drawing>
        <wp:inline distT="0" distB="0" distL="0" distR="0" wp14:anchorId="726D499C" wp14:editId="65ADD3AA">
          <wp:extent cx="1285875" cy="428625"/>
          <wp:effectExtent l="0" t="0" r="0" b="0"/>
          <wp:docPr id="1" name="Bild 1" descr="Defenc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ence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0FF3">
      <w:tab/>
    </w:r>
  </w:p>
  <w:p w:rsidR="00286E3B" w:rsidRDefault="00286E3B">
    <w:pPr>
      <w:pStyle w:val="Kopfzeile"/>
    </w:pPr>
  </w:p>
  <w:p w:rsidR="00286E3B" w:rsidRPr="00FB26C4" w:rsidRDefault="00286E3B" w:rsidP="004F7217">
    <w:pPr>
      <w:pStyle w:val="Kopfzeile"/>
      <w:tabs>
        <w:tab w:val="clear" w:pos="4820"/>
      </w:tabs>
      <w:rPr>
        <w:rFonts w:ascii="Tahoma" w:hAnsi="Tahoma" w:cs="Tahoma"/>
      </w:rPr>
    </w:pPr>
    <w:r w:rsidRPr="00FB26C4">
      <w:rPr>
        <w:rFonts w:ascii="Tahoma" w:hAnsi="Tahoma" w:cs="Tahoma"/>
        <w:sz w:val="32"/>
      </w:rPr>
      <w:t>Presseinformation</w:t>
    </w:r>
    <w:r w:rsidR="00D40FF3">
      <w:rPr>
        <w:rFonts w:ascii="Tahoma" w:hAnsi="Tahoma" w:cs="Tahoma"/>
        <w:sz w:val="32"/>
      </w:rPr>
      <w:t xml:space="preserve"> (</w:t>
    </w:r>
    <w:r w:rsidR="00FE2A8E">
      <w:rPr>
        <w:rFonts w:ascii="Tahoma" w:hAnsi="Tahoma" w:cs="Tahoma"/>
        <w:sz w:val="32"/>
      </w:rPr>
      <w:t>Vorlage</w:t>
    </w:r>
    <w:r w:rsidR="00D40FF3">
      <w:rPr>
        <w:rFonts w:ascii="Tahoma" w:hAnsi="Tahoma" w:cs="Tahoma"/>
        <w:sz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618DE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950A4E"/>
    <w:multiLevelType w:val="multilevel"/>
    <w:tmpl w:val="505C4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5E13A47"/>
    <w:multiLevelType w:val="multilevel"/>
    <w:tmpl w:val="C7967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480219F"/>
    <w:multiLevelType w:val="multilevel"/>
    <w:tmpl w:val="30CA3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71D6DD4"/>
    <w:multiLevelType w:val="multilevel"/>
    <w:tmpl w:val="BD342220"/>
    <w:lvl w:ilvl="0">
      <w:start w:val="1"/>
      <w:numFmt w:val="decimal"/>
      <w:pStyle w:val="Chapter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hapte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Chapte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Chapte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Chapte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hapter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hapter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hapter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BC9220A"/>
    <w:multiLevelType w:val="multilevel"/>
    <w:tmpl w:val="56ECF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4711"/>
    <w:multiLevelType w:val="multilevel"/>
    <w:tmpl w:val="43C43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B76D8"/>
    <w:multiLevelType w:val="hybridMultilevel"/>
    <w:tmpl w:val="2BB4DDC6"/>
    <w:lvl w:ilvl="0" w:tplc="2CCE45B8">
      <w:start w:val="1"/>
      <w:numFmt w:val="decimal"/>
      <w:lvlText w:val="%1."/>
      <w:lvlJc w:val="left"/>
      <w:pPr>
        <w:ind w:left="8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75" w:hanging="360"/>
      </w:pPr>
    </w:lvl>
    <w:lvl w:ilvl="2" w:tplc="0407001B" w:tentative="1">
      <w:start w:val="1"/>
      <w:numFmt w:val="lowerRoman"/>
      <w:lvlText w:val="%3."/>
      <w:lvlJc w:val="right"/>
      <w:pPr>
        <w:ind w:left="9795" w:hanging="180"/>
      </w:pPr>
    </w:lvl>
    <w:lvl w:ilvl="3" w:tplc="0407000F" w:tentative="1">
      <w:start w:val="1"/>
      <w:numFmt w:val="decimal"/>
      <w:lvlText w:val="%4."/>
      <w:lvlJc w:val="left"/>
      <w:pPr>
        <w:ind w:left="10515" w:hanging="360"/>
      </w:pPr>
    </w:lvl>
    <w:lvl w:ilvl="4" w:tplc="04070019" w:tentative="1">
      <w:start w:val="1"/>
      <w:numFmt w:val="lowerLetter"/>
      <w:lvlText w:val="%5."/>
      <w:lvlJc w:val="left"/>
      <w:pPr>
        <w:ind w:left="11235" w:hanging="360"/>
      </w:pPr>
    </w:lvl>
    <w:lvl w:ilvl="5" w:tplc="0407001B" w:tentative="1">
      <w:start w:val="1"/>
      <w:numFmt w:val="lowerRoman"/>
      <w:lvlText w:val="%6."/>
      <w:lvlJc w:val="right"/>
      <w:pPr>
        <w:ind w:left="11955" w:hanging="180"/>
      </w:pPr>
    </w:lvl>
    <w:lvl w:ilvl="6" w:tplc="0407000F" w:tentative="1">
      <w:start w:val="1"/>
      <w:numFmt w:val="decimal"/>
      <w:lvlText w:val="%7."/>
      <w:lvlJc w:val="left"/>
      <w:pPr>
        <w:ind w:left="12675" w:hanging="360"/>
      </w:pPr>
    </w:lvl>
    <w:lvl w:ilvl="7" w:tplc="04070019" w:tentative="1">
      <w:start w:val="1"/>
      <w:numFmt w:val="lowerLetter"/>
      <w:lvlText w:val="%8."/>
      <w:lvlJc w:val="left"/>
      <w:pPr>
        <w:ind w:left="13395" w:hanging="360"/>
      </w:pPr>
    </w:lvl>
    <w:lvl w:ilvl="8" w:tplc="0407001B" w:tentative="1">
      <w:start w:val="1"/>
      <w:numFmt w:val="lowerRoman"/>
      <w:lvlText w:val="%9."/>
      <w:lvlJc w:val="right"/>
      <w:pPr>
        <w:ind w:left="14115" w:hanging="180"/>
      </w:pPr>
    </w:lvl>
  </w:abstractNum>
  <w:abstractNum w:abstractNumId="10" w15:restartNumberingAfterBreak="0">
    <w:nsid w:val="48FB0EC1"/>
    <w:multiLevelType w:val="multilevel"/>
    <w:tmpl w:val="235851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D76978"/>
    <w:multiLevelType w:val="multilevel"/>
    <w:tmpl w:val="08C4B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3431014"/>
    <w:multiLevelType w:val="hybridMultilevel"/>
    <w:tmpl w:val="E91A1872"/>
    <w:lvl w:ilvl="0" w:tplc="7070FECE">
      <w:start w:val="2"/>
      <w:numFmt w:val="decimal"/>
      <w:lvlText w:val="%1."/>
      <w:lvlJc w:val="left"/>
      <w:pPr>
        <w:ind w:left="8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435" w:hanging="360"/>
      </w:pPr>
    </w:lvl>
    <w:lvl w:ilvl="2" w:tplc="0407001B" w:tentative="1">
      <w:start w:val="1"/>
      <w:numFmt w:val="lowerRoman"/>
      <w:lvlText w:val="%3."/>
      <w:lvlJc w:val="right"/>
      <w:pPr>
        <w:ind w:left="10155" w:hanging="180"/>
      </w:pPr>
    </w:lvl>
    <w:lvl w:ilvl="3" w:tplc="0407000F" w:tentative="1">
      <w:start w:val="1"/>
      <w:numFmt w:val="decimal"/>
      <w:lvlText w:val="%4."/>
      <w:lvlJc w:val="left"/>
      <w:pPr>
        <w:ind w:left="10875" w:hanging="360"/>
      </w:pPr>
    </w:lvl>
    <w:lvl w:ilvl="4" w:tplc="04070019" w:tentative="1">
      <w:start w:val="1"/>
      <w:numFmt w:val="lowerLetter"/>
      <w:lvlText w:val="%5."/>
      <w:lvlJc w:val="left"/>
      <w:pPr>
        <w:ind w:left="11595" w:hanging="360"/>
      </w:pPr>
    </w:lvl>
    <w:lvl w:ilvl="5" w:tplc="0407001B" w:tentative="1">
      <w:start w:val="1"/>
      <w:numFmt w:val="lowerRoman"/>
      <w:lvlText w:val="%6."/>
      <w:lvlJc w:val="right"/>
      <w:pPr>
        <w:ind w:left="12315" w:hanging="180"/>
      </w:pPr>
    </w:lvl>
    <w:lvl w:ilvl="6" w:tplc="0407000F" w:tentative="1">
      <w:start w:val="1"/>
      <w:numFmt w:val="decimal"/>
      <w:lvlText w:val="%7."/>
      <w:lvlJc w:val="left"/>
      <w:pPr>
        <w:ind w:left="13035" w:hanging="360"/>
      </w:pPr>
    </w:lvl>
    <w:lvl w:ilvl="7" w:tplc="04070019" w:tentative="1">
      <w:start w:val="1"/>
      <w:numFmt w:val="lowerLetter"/>
      <w:lvlText w:val="%8."/>
      <w:lvlJc w:val="left"/>
      <w:pPr>
        <w:ind w:left="13755" w:hanging="360"/>
      </w:pPr>
    </w:lvl>
    <w:lvl w:ilvl="8" w:tplc="0407001B" w:tentative="1">
      <w:start w:val="1"/>
      <w:numFmt w:val="lowerRoman"/>
      <w:lvlText w:val="%9."/>
      <w:lvlJc w:val="right"/>
      <w:pPr>
        <w:ind w:left="14475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7"/>
    <w:rsid w:val="00020AA1"/>
    <w:rsid w:val="00033843"/>
    <w:rsid w:val="00034454"/>
    <w:rsid w:val="00045F7D"/>
    <w:rsid w:val="0006305D"/>
    <w:rsid w:val="00066E17"/>
    <w:rsid w:val="00077B0C"/>
    <w:rsid w:val="00082005"/>
    <w:rsid w:val="000907C0"/>
    <w:rsid w:val="000B5B8C"/>
    <w:rsid w:val="000B6F7F"/>
    <w:rsid w:val="00106FFE"/>
    <w:rsid w:val="00150D58"/>
    <w:rsid w:val="001538DB"/>
    <w:rsid w:val="0016245E"/>
    <w:rsid w:val="0017743A"/>
    <w:rsid w:val="00183D61"/>
    <w:rsid w:val="0019736F"/>
    <w:rsid w:val="001A6177"/>
    <w:rsid w:val="001B4C0C"/>
    <w:rsid w:val="001D34D0"/>
    <w:rsid w:val="001E21BD"/>
    <w:rsid w:val="001F43C8"/>
    <w:rsid w:val="00210F9D"/>
    <w:rsid w:val="002249AB"/>
    <w:rsid w:val="002420A6"/>
    <w:rsid w:val="002671BF"/>
    <w:rsid w:val="002744B1"/>
    <w:rsid w:val="00284F18"/>
    <w:rsid w:val="00286E3B"/>
    <w:rsid w:val="002937A8"/>
    <w:rsid w:val="00295888"/>
    <w:rsid w:val="002A5B73"/>
    <w:rsid w:val="002B349D"/>
    <w:rsid w:val="002B4FAF"/>
    <w:rsid w:val="002B653C"/>
    <w:rsid w:val="002B699B"/>
    <w:rsid w:val="002C0806"/>
    <w:rsid w:val="002D5246"/>
    <w:rsid w:val="002E712D"/>
    <w:rsid w:val="003076C7"/>
    <w:rsid w:val="00311D4C"/>
    <w:rsid w:val="00336281"/>
    <w:rsid w:val="00347FDB"/>
    <w:rsid w:val="00354198"/>
    <w:rsid w:val="00355048"/>
    <w:rsid w:val="00356066"/>
    <w:rsid w:val="003663DB"/>
    <w:rsid w:val="00373E8B"/>
    <w:rsid w:val="00377261"/>
    <w:rsid w:val="0039262A"/>
    <w:rsid w:val="003A5FA9"/>
    <w:rsid w:val="003B1599"/>
    <w:rsid w:val="003C0F7A"/>
    <w:rsid w:val="003F496B"/>
    <w:rsid w:val="004123E2"/>
    <w:rsid w:val="00435E6C"/>
    <w:rsid w:val="00437A4D"/>
    <w:rsid w:val="0045644C"/>
    <w:rsid w:val="004631DC"/>
    <w:rsid w:val="004A1AAA"/>
    <w:rsid w:val="004A6F63"/>
    <w:rsid w:val="004A6FE5"/>
    <w:rsid w:val="004B0D37"/>
    <w:rsid w:val="004B0D73"/>
    <w:rsid w:val="004C186E"/>
    <w:rsid w:val="004C5D76"/>
    <w:rsid w:val="004D4588"/>
    <w:rsid w:val="004D7F85"/>
    <w:rsid w:val="004E455E"/>
    <w:rsid w:val="004F7217"/>
    <w:rsid w:val="004F7A9A"/>
    <w:rsid w:val="00502EAF"/>
    <w:rsid w:val="0050573B"/>
    <w:rsid w:val="00506A33"/>
    <w:rsid w:val="00507ECB"/>
    <w:rsid w:val="0051034F"/>
    <w:rsid w:val="0052787F"/>
    <w:rsid w:val="005534B4"/>
    <w:rsid w:val="0055746B"/>
    <w:rsid w:val="00565DFA"/>
    <w:rsid w:val="005967A6"/>
    <w:rsid w:val="005C7136"/>
    <w:rsid w:val="005E6BE0"/>
    <w:rsid w:val="005E73D9"/>
    <w:rsid w:val="00611C9D"/>
    <w:rsid w:val="00630A8C"/>
    <w:rsid w:val="00642192"/>
    <w:rsid w:val="006421CE"/>
    <w:rsid w:val="00655B99"/>
    <w:rsid w:val="0066343F"/>
    <w:rsid w:val="006651E6"/>
    <w:rsid w:val="006831C7"/>
    <w:rsid w:val="00687F3D"/>
    <w:rsid w:val="006977D1"/>
    <w:rsid w:val="006A08C0"/>
    <w:rsid w:val="006B51DD"/>
    <w:rsid w:val="006C0E64"/>
    <w:rsid w:val="006E6D49"/>
    <w:rsid w:val="006F1078"/>
    <w:rsid w:val="006F2B66"/>
    <w:rsid w:val="00704F35"/>
    <w:rsid w:val="007103CD"/>
    <w:rsid w:val="007313C9"/>
    <w:rsid w:val="007467B5"/>
    <w:rsid w:val="00754B8D"/>
    <w:rsid w:val="0075511F"/>
    <w:rsid w:val="00782A2C"/>
    <w:rsid w:val="007B33EC"/>
    <w:rsid w:val="007B6260"/>
    <w:rsid w:val="007B662D"/>
    <w:rsid w:val="007D23E7"/>
    <w:rsid w:val="007E43AB"/>
    <w:rsid w:val="0080288B"/>
    <w:rsid w:val="0081137D"/>
    <w:rsid w:val="0081339D"/>
    <w:rsid w:val="00820446"/>
    <w:rsid w:val="00827A77"/>
    <w:rsid w:val="00842E7F"/>
    <w:rsid w:val="008659AF"/>
    <w:rsid w:val="00880E9C"/>
    <w:rsid w:val="00883738"/>
    <w:rsid w:val="008A23C1"/>
    <w:rsid w:val="008A5EEB"/>
    <w:rsid w:val="008B3C31"/>
    <w:rsid w:val="008C7311"/>
    <w:rsid w:val="008D65F2"/>
    <w:rsid w:val="008E43A1"/>
    <w:rsid w:val="008F6F48"/>
    <w:rsid w:val="0093194F"/>
    <w:rsid w:val="00934CD8"/>
    <w:rsid w:val="0093668F"/>
    <w:rsid w:val="00936949"/>
    <w:rsid w:val="009405EF"/>
    <w:rsid w:val="00955B60"/>
    <w:rsid w:val="009C2763"/>
    <w:rsid w:val="009C74DF"/>
    <w:rsid w:val="009E1E2E"/>
    <w:rsid w:val="009E2ACA"/>
    <w:rsid w:val="009F0D44"/>
    <w:rsid w:val="009F3A1D"/>
    <w:rsid w:val="009F7A33"/>
    <w:rsid w:val="00A02EFB"/>
    <w:rsid w:val="00A26E4C"/>
    <w:rsid w:val="00A274E7"/>
    <w:rsid w:val="00A35411"/>
    <w:rsid w:val="00A445F5"/>
    <w:rsid w:val="00A45F5D"/>
    <w:rsid w:val="00A73CA6"/>
    <w:rsid w:val="00A74A8A"/>
    <w:rsid w:val="00AA6738"/>
    <w:rsid w:val="00AB3803"/>
    <w:rsid w:val="00AC68A8"/>
    <w:rsid w:val="00AD2016"/>
    <w:rsid w:val="00AE551E"/>
    <w:rsid w:val="00AF47DC"/>
    <w:rsid w:val="00B068EC"/>
    <w:rsid w:val="00B52008"/>
    <w:rsid w:val="00B642E3"/>
    <w:rsid w:val="00B73C5B"/>
    <w:rsid w:val="00B858A0"/>
    <w:rsid w:val="00BA19D5"/>
    <w:rsid w:val="00BB6203"/>
    <w:rsid w:val="00BD6A10"/>
    <w:rsid w:val="00BE1E0D"/>
    <w:rsid w:val="00BE4A70"/>
    <w:rsid w:val="00BF568A"/>
    <w:rsid w:val="00C25801"/>
    <w:rsid w:val="00C32F62"/>
    <w:rsid w:val="00C42B41"/>
    <w:rsid w:val="00C506C8"/>
    <w:rsid w:val="00C569BE"/>
    <w:rsid w:val="00C60EBA"/>
    <w:rsid w:val="00C667BF"/>
    <w:rsid w:val="00C66C6B"/>
    <w:rsid w:val="00C84879"/>
    <w:rsid w:val="00CA2292"/>
    <w:rsid w:val="00D034BF"/>
    <w:rsid w:val="00D04523"/>
    <w:rsid w:val="00D165FA"/>
    <w:rsid w:val="00D37283"/>
    <w:rsid w:val="00D37936"/>
    <w:rsid w:val="00D4056D"/>
    <w:rsid w:val="00D40FF3"/>
    <w:rsid w:val="00D43905"/>
    <w:rsid w:val="00D472B7"/>
    <w:rsid w:val="00D5415A"/>
    <w:rsid w:val="00D84BDD"/>
    <w:rsid w:val="00D962BA"/>
    <w:rsid w:val="00DB239E"/>
    <w:rsid w:val="00DD01F7"/>
    <w:rsid w:val="00DF582B"/>
    <w:rsid w:val="00E0000A"/>
    <w:rsid w:val="00E24676"/>
    <w:rsid w:val="00E42940"/>
    <w:rsid w:val="00E50BB8"/>
    <w:rsid w:val="00E55A5A"/>
    <w:rsid w:val="00E602DB"/>
    <w:rsid w:val="00E70861"/>
    <w:rsid w:val="00E766E9"/>
    <w:rsid w:val="00E76E3A"/>
    <w:rsid w:val="00E778E7"/>
    <w:rsid w:val="00E85F49"/>
    <w:rsid w:val="00E95D27"/>
    <w:rsid w:val="00EB13AF"/>
    <w:rsid w:val="00EB15D2"/>
    <w:rsid w:val="00EB5CDA"/>
    <w:rsid w:val="00EC28F0"/>
    <w:rsid w:val="00EC31BC"/>
    <w:rsid w:val="00EC4678"/>
    <w:rsid w:val="00ED0436"/>
    <w:rsid w:val="00EE0F94"/>
    <w:rsid w:val="00EF4F3E"/>
    <w:rsid w:val="00F254D7"/>
    <w:rsid w:val="00F35FAB"/>
    <w:rsid w:val="00F36204"/>
    <w:rsid w:val="00F453AF"/>
    <w:rsid w:val="00F744F7"/>
    <w:rsid w:val="00FB26C4"/>
    <w:rsid w:val="00FB70F3"/>
    <w:rsid w:val="00FC1060"/>
    <w:rsid w:val="00FD465D"/>
    <w:rsid w:val="00FE03CE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605B1D36-8382-474E-8083-08469C7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B33EC"/>
    <w:pPr>
      <w:keepNext/>
      <w:numPr>
        <w:numId w:val="13"/>
      </w:numPr>
      <w:tabs>
        <w:tab w:val="left" w:pos="992"/>
      </w:tabs>
      <w:spacing w:before="240" w:after="240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tabs>
        <w:tab w:val="left" w:pos="992"/>
      </w:tabs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left" w:pos="993"/>
      </w:tabs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tabs>
        <w:tab w:val="left" w:pos="993"/>
      </w:tabs>
      <w:spacing w:before="240" w:after="24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spacing w:before="240" w:after="240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3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671BF"/>
    <w:pPr>
      <w:numPr>
        <w:ilvl w:val="8"/>
        <w:numId w:val="1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qFormat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pPr>
      <w:numPr>
        <w:numId w:val="3"/>
      </w:numPr>
    </w:pPr>
  </w:style>
  <w:style w:type="character" w:styleId="Funotenzeichen">
    <w:name w:val="footnote reference"/>
    <w:semiHidden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  <w:spacing w:line="240" w:lineRule="auto"/>
    </w:pPr>
    <w:rPr>
      <w:sz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pPr>
      <w:spacing w:after="288"/>
    </w:pPr>
  </w:style>
  <w:style w:type="paragraph" w:styleId="Kommentartext">
    <w:name w:val="annotation text"/>
    <w:basedOn w:val="Standard"/>
    <w:next w:val="Standard"/>
    <w:semiHidden/>
  </w:style>
  <w:style w:type="character" w:styleId="Kommentarzeichen">
    <w:name w:val="annotation reference"/>
    <w:semiHidden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Pr>
      <w:rFonts w:ascii="Arial" w:hAnsi="Arial"/>
      <w:sz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paragraph" w:customStyle="1" w:styleId="Chapter1">
    <w:name w:val="Chapter 1"/>
    <w:basedOn w:val="berschrift1"/>
    <w:next w:val="Standard"/>
    <w:rsid w:val="002671BF"/>
    <w:pPr>
      <w:numPr>
        <w:numId w:val="12"/>
      </w:numPr>
    </w:pPr>
  </w:style>
  <w:style w:type="paragraph" w:customStyle="1" w:styleId="Chapter2">
    <w:name w:val="Chapter 2"/>
    <w:basedOn w:val="berschrift2"/>
    <w:next w:val="Standard"/>
    <w:rsid w:val="002671BF"/>
    <w:pPr>
      <w:numPr>
        <w:numId w:val="12"/>
      </w:numPr>
    </w:pPr>
  </w:style>
  <w:style w:type="paragraph" w:customStyle="1" w:styleId="Chapter3">
    <w:name w:val="Chapter 3"/>
    <w:basedOn w:val="berschrift3"/>
    <w:next w:val="Standard"/>
    <w:autoRedefine/>
    <w:rsid w:val="002671BF"/>
    <w:pPr>
      <w:numPr>
        <w:numId w:val="12"/>
      </w:numPr>
    </w:pPr>
  </w:style>
  <w:style w:type="paragraph" w:customStyle="1" w:styleId="Chapter4">
    <w:name w:val="Chapter 4"/>
    <w:basedOn w:val="berschrift4"/>
    <w:next w:val="Standard"/>
    <w:autoRedefine/>
    <w:rsid w:val="002671BF"/>
    <w:pPr>
      <w:numPr>
        <w:numId w:val="12"/>
      </w:numPr>
    </w:pPr>
  </w:style>
  <w:style w:type="paragraph" w:customStyle="1" w:styleId="Chapter5">
    <w:name w:val="Chapter 5"/>
    <w:basedOn w:val="berschrift5"/>
    <w:next w:val="Standard"/>
    <w:autoRedefine/>
    <w:rsid w:val="002671BF"/>
    <w:pPr>
      <w:numPr>
        <w:numId w:val="12"/>
      </w:numPr>
    </w:pPr>
  </w:style>
  <w:style w:type="paragraph" w:customStyle="1" w:styleId="Chapter6">
    <w:name w:val="Chapter 6"/>
    <w:basedOn w:val="berschrift6"/>
    <w:next w:val="Standard"/>
    <w:autoRedefine/>
    <w:rsid w:val="002671BF"/>
    <w:pPr>
      <w:numPr>
        <w:numId w:val="12"/>
      </w:numPr>
    </w:pPr>
  </w:style>
  <w:style w:type="paragraph" w:customStyle="1" w:styleId="Chapter7">
    <w:name w:val="Chapter 7"/>
    <w:basedOn w:val="berschrift7"/>
    <w:next w:val="Standard"/>
    <w:autoRedefine/>
    <w:rsid w:val="002671BF"/>
    <w:pPr>
      <w:numPr>
        <w:numId w:val="12"/>
      </w:numPr>
    </w:pPr>
  </w:style>
  <w:style w:type="paragraph" w:customStyle="1" w:styleId="Chapter8">
    <w:name w:val="Chapter 8"/>
    <w:basedOn w:val="berschrift8"/>
    <w:next w:val="Standard"/>
    <w:autoRedefine/>
    <w:rsid w:val="002671BF"/>
    <w:pPr>
      <w:numPr>
        <w:numId w:val="12"/>
      </w:numPr>
    </w:pPr>
  </w:style>
  <w:style w:type="paragraph" w:customStyle="1" w:styleId="Chapter9">
    <w:name w:val="Chapter 9"/>
    <w:basedOn w:val="berschrift9"/>
    <w:next w:val="Standard"/>
    <w:autoRedefine/>
    <w:rsid w:val="002671BF"/>
    <w:pPr>
      <w:numPr>
        <w:numId w:val="12"/>
      </w:numPr>
    </w:pPr>
  </w:style>
  <w:style w:type="paragraph" w:styleId="Verzeichnis9">
    <w:name w:val="toc 9"/>
    <w:basedOn w:val="Standard"/>
    <w:next w:val="Standard"/>
    <w:autoRedefine/>
    <w:semiHidden/>
    <w:rsid w:val="0093668F"/>
    <w:pPr>
      <w:ind w:left="1760"/>
    </w:pPr>
  </w:style>
  <w:style w:type="character" w:styleId="Hyperlink">
    <w:name w:val="Hyperlink"/>
    <w:rsid w:val="004F72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83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3D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ehl." TargetMode="External"/><Relationship Id="rId1" Type="http://schemas.openxmlformats.org/officeDocument/2006/relationships/hyperlink" Target="mailto:pr@diehl-defence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DBD</Company>
  <LinksUpToDate>false</LinksUpToDate>
  <CharactersWithSpaces>2244</CharactersWithSpaces>
  <SharedDoc>false</SharedDoc>
  <HLinks>
    <vt:vector size="12" baseType="variant"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http://www.diehl./</vt:lpwstr>
      </vt:variant>
      <vt:variant>
        <vt:lpwstr/>
      </vt:variant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mailto:pr@diehl-defence.de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</dc:creator>
  <cp:lastModifiedBy>Maike PILZ</cp:lastModifiedBy>
  <cp:revision>2</cp:revision>
  <cp:lastPrinted>2020-12-02T13:44:00Z</cp:lastPrinted>
  <dcterms:created xsi:type="dcterms:W3CDTF">2020-12-14T12:27:00Z</dcterms:created>
  <dcterms:modified xsi:type="dcterms:W3CDTF">2020-12-14T12:27:00Z</dcterms:modified>
</cp:coreProperties>
</file>