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:rsidR="006B51DD" w:rsidRPr="009F7A33" w:rsidRDefault="009F7A33" w:rsidP="009F7A33">
      <w:pPr>
        <w:tabs>
          <w:tab w:val="left" w:pos="7371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 w:rsidR="008402F4">
        <w:rPr>
          <w:rFonts w:ascii="Tahoma" w:hAnsi="Tahoma" w:cs="Tahoma"/>
          <w:sz w:val="20"/>
        </w:rPr>
        <w:t>April</w:t>
      </w:r>
      <w:r w:rsidR="00A26E4C">
        <w:rPr>
          <w:rFonts w:ascii="Tahoma" w:hAnsi="Tahoma" w:cs="Tahoma"/>
          <w:sz w:val="20"/>
        </w:rPr>
        <w:t xml:space="preserve">, </w:t>
      </w:r>
      <w:r w:rsidR="008402F4">
        <w:rPr>
          <w:rFonts w:ascii="Tahoma" w:hAnsi="Tahoma" w:cs="Tahoma"/>
          <w:sz w:val="20"/>
        </w:rPr>
        <w:t>2020</w:t>
      </w:r>
    </w:p>
    <w:p w:rsidR="009F7A33" w:rsidRPr="009F7A33" w:rsidRDefault="009F7A33" w:rsidP="00B73C5B">
      <w:pPr>
        <w:rPr>
          <w:rFonts w:ascii="Tahoma" w:hAnsi="Tahoma" w:cs="Tahoma"/>
          <w:b/>
          <w:sz w:val="20"/>
        </w:rPr>
      </w:pPr>
    </w:p>
    <w:p w:rsidR="009F7A33" w:rsidRPr="009F7A33" w:rsidRDefault="009F7A33" w:rsidP="00B73C5B">
      <w:pPr>
        <w:rPr>
          <w:rFonts w:ascii="Tahoma" w:hAnsi="Tahoma" w:cs="Tahoma"/>
          <w:sz w:val="20"/>
        </w:rPr>
      </w:pPr>
    </w:p>
    <w:p w:rsidR="003726FC" w:rsidRDefault="003726FC" w:rsidP="00B73C5B">
      <w:pPr>
        <w:rPr>
          <w:rFonts w:ascii="Tahoma" w:hAnsi="Tahoma" w:cs="Tahoma"/>
          <w:b/>
          <w:bCs/>
          <w:iCs/>
          <w:color w:val="000000"/>
          <w:szCs w:val="22"/>
        </w:rPr>
      </w:pPr>
    </w:p>
    <w:p w:rsidR="003726FC" w:rsidRDefault="003726FC" w:rsidP="00B73C5B">
      <w:pPr>
        <w:rPr>
          <w:rFonts w:ascii="Tahoma" w:hAnsi="Tahoma" w:cs="Tahoma"/>
          <w:b/>
          <w:bCs/>
          <w:iCs/>
          <w:color w:val="000000"/>
          <w:szCs w:val="22"/>
        </w:rPr>
      </w:pPr>
    </w:p>
    <w:p w:rsidR="003726FC" w:rsidRDefault="003726FC" w:rsidP="00B73C5B">
      <w:pPr>
        <w:rPr>
          <w:rFonts w:ascii="Tahoma" w:hAnsi="Tahoma" w:cs="Tahoma"/>
          <w:b/>
          <w:bCs/>
          <w:iCs/>
          <w:color w:val="000000"/>
          <w:szCs w:val="22"/>
        </w:rPr>
      </w:pPr>
    </w:p>
    <w:p w:rsidR="003726FC" w:rsidRDefault="003726FC" w:rsidP="00B73C5B">
      <w:pPr>
        <w:rPr>
          <w:rFonts w:ascii="Tahoma" w:hAnsi="Tahoma" w:cs="Tahoma"/>
          <w:b/>
          <w:bCs/>
          <w:iCs/>
          <w:color w:val="000000"/>
          <w:szCs w:val="22"/>
        </w:rPr>
      </w:pPr>
    </w:p>
    <w:p w:rsidR="007B662D" w:rsidRPr="008402F4" w:rsidRDefault="008402F4" w:rsidP="00B73C5B">
      <w:pPr>
        <w:rPr>
          <w:rFonts w:ascii="Tahoma" w:hAnsi="Tahoma" w:cs="Tahoma"/>
          <w:b/>
          <w:szCs w:val="22"/>
        </w:rPr>
      </w:pPr>
      <w:r w:rsidRPr="008402F4">
        <w:rPr>
          <w:rFonts w:ascii="Tahoma" w:hAnsi="Tahoma" w:cs="Tahoma"/>
          <w:b/>
          <w:bCs/>
          <w:iCs/>
          <w:color w:val="000000"/>
          <w:szCs w:val="22"/>
        </w:rPr>
        <w:t>GBAD-Gefechtsstand übernommen</w:t>
      </w:r>
    </w:p>
    <w:p w:rsidR="007467B5" w:rsidRPr="008402F4" w:rsidRDefault="007467B5" w:rsidP="004A6FE5">
      <w:pPr>
        <w:rPr>
          <w:rFonts w:ascii="Tahoma" w:hAnsi="Tahoma" w:cs="Tahoma"/>
          <w:sz w:val="20"/>
        </w:rPr>
      </w:pPr>
    </w:p>
    <w:p w:rsidR="008402F4" w:rsidRPr="008402F4" w:rsidRDefault="008402F4" w:rsidP="008402F4">
      <w:pPr>
        <w:autoSpaceDE w:val="0"/>
        <w:autoSpaceDN w:val="0"/>
        <w:adjustRightInd w:val="0"/>
        <w:spacing w:line="290" w:lineRule="atLeast"/>
        <w:rPr>
          <w:rFonts w:ascii="Tahoma" w:hAnsi="Tahoma" w:cs="Tahoma"/>
          <w:iCs/>
          <w:color w:val="000000"/>
          <w:szCs w:val="22"/>
        </w:rPr>
      </w:pPr>
      <w:r w:rsidRPr="008402F4">
        <w:rPr>
          <w:rFonts w:ascii="Tahoma" w:hAnsi="Tahoma" w:cs="Tahoma"/>
          <w:iCs/>
          <w:color w:val="000000"/>
          <w:szCs w:val="22"/>
        </w:rPr>
        <w:t xml:space="preserve">Nach der erfolgreichen Industrieabnahme des </w:t>
      </w:r>
      <w:proofErr w:type="spellStart"/>
      <w:r w:rsidRPr="008402F4">
        <w:rPr>
          <w:rFonts w:ascii="Tahoma" w:hAnsi="Tahoma" w:cs="Tahoma"/>
          <w:iCs/>
          <w:szCs w:val="22"/>
        </w:rPr>
        <w:t>Tactical</w:t>
      </w:r>
      <w:proofErr w:type="spellEnd"/>
      <w:r w:rsidRPr="008402F4">
        <w:rPr>
          <w:rFonts w:ascii="Tahoma" w:hAnsi="Tahoma" w:cs="Tahoma"/>
          <w:iCs/>
          <w:szCs w:val="22"/>
        </w:rPr>
        <w:t xml:space="preserve"> Operation Center </w:t>
      </w:r>
      <w:proofErr w:type="spellStart"/>
      <w:r w:rsidRPr="008402F4">
        <w:rPr>
          <w:rFonts w:ascii="Tahoma" w:hAnsi="Tahoma" w:cs="Tahoma"/>
          <w:iCs/>
          <w:szCs w:val="22"/>
        </w:rPr>
        <w:t>Shelters</w:t>
      </w:r>
      <w:proofErr w:type="spellEnd"/>
      <w:r w:rsidRPr="008402F4">
        <w:rPr>
          <w:rFonts w:ascii="Tahoma" w:hAnsi="Tahoma" w:cs="Tahoma"/>
          <w:iCs/>
          <w:szCs w:val="22"/>
        </w:rPr>
        <w:t xml:space="preserve"> (TOC </w:t>
      </w:r>
      <w:proofErr w:type="spellStart"/>
      <w:r w:rsidRPr="008402F4">
        <w:rPr>
          <w:rFonts w:ascii="Tahoma" w:hAnsi="Tahoma" w:cs="Tahoma"/>
          <w:iCs/>
          <w:szCs w:val="22"/>
        </w:rPr>
        <w:t>Shelter</w:t>
      </w:r>
      <w:proofErr w:type="spellEnd"/>
      <w:r w:rsidRPr="008402F4">
        <w:rPr>
          <w:rFonts w:ascii="Tahoma" w:hAnsi="Tahoma" w:cs="Tahoma"/>
          <w:iCs/>
          <w:szCs w:val="22"/>
        </w:rPr>
        <w:t xml:space="preserve">) </w:t>
      </w:r>
      <w:r w:rsidRPr="008402F4">
        <w:rPr>
          <w:rFonts w:ascii="Tahoma" w:hAnsi="Tahoma" w:cs="Tahoma"/>
          <w:iCs/>
          <w:color w:val="000000"/>
          <w:szCs w:val="22"/>
        </w:rPr>
        <w:t xml:space="preserve">beim Hersteller Airbus </w:t>
      </w:r>
      <w:proofErr w:type="spellStart"/>
      <w:r w:rsidRPr="008402F4">
        <w:rPr>
          <w:rFonts w:ascii="Tahoma" w:hAnsi="Tahoma" w:cs="Tahoma"/>
          <w:iCs/>
          <w:color w:val="000000"/>
          <w:szCs w:val="22"/>
        </w:rPr>
        <w:t>Defence</w:t>
      </w:r>
      <w:proofErr w:type="spellEnd"/>
      <w:r w:rsidRPr="008402F4">
        <w:rPr>
          <w:rFonts w:ascii="Tahoma" w:hAnsi="Tahoma" w:cs="Tahoma"/>
          <w:iCs/>
          <w:color w:val="000000"/>
          <w:szCs w:val="22"/>
        </w:rPr>
        <w:t xml:space="preserve"> </w:t>
      </w:r>
      <w:proofErr w:type="spellStart"/>
      <w:r w:rsidRPr="008402F4">
        <w:rPr>
          <w:rFonts w:ascii="Tahoma" w:hAnsi="Tahoma" w:cs="Tahoma"/>
          <w:iCs/>
          <w:color w:val="000000"/>
          <w:szCs w:val="22"/>
        </w:rPr>
        <w:t>and</w:t>
      </w:r>
      <w:proofErr w:type="spellEnd"/>
      <w:r w:rsidRPr="008402F4">
        <w:rPr>
          <w:rFonts w:ascii="Tahoma" w:hAnsi="Tahoma" w:cs="Tahoma"/>
          <w:iCs/>
          <w:color w:val="000000"/>
          <w:szCs w:val="22"/>
        </w:rPr>
        <w:t xml:space="preserve"> Space in </w:t>
      </w:r>
      <w:proofErr w:type="spellStart"/>
      <w:r w:rsidRPr="008402F4">
        <w:rPr>
          <w:rFonts w:ascii="Tahoma" w:hAnsi="Tahoma" w:cs="Tahoma"/>
          <w:iCs/>
          <w:color w:val="000000"/>
          <w:szCs w:val="22"/>
        </w:rPr>
        <w:t>Immenstaad</w:t>
      </w:r>
      <w:proofErr w:type="spellEnd"/>
      <w:r w:rsidRPr="008402F4">
        <w:rPr>
          <w:rFonts w:ascii="Tahoma" w:hAnsi="Tahoma" w:cs="Tahoma"/>
          <w:iCs/>
          <w:color w:val="000000"/>
          <w:szCs w:val="22"/>
        </w:rPr>
        <w:t xml:space="preserve"> hat Diehl </w:t>
      </w:r>
      <w:proofErr w:type="spellStart"/>
      <w:r w:rsidRPr="008402F4">
        <w:rPr>
          <w:rFonts w:ascii="Tahoma" w:hAnsi="Tahoma" w:cs="Tahoma"/>
          <w:iCs/>
          <w:color w:val="000000"/>
          <w:szCs w:val="22"/>
        </w:rPr>
        <w:t>Defence</w:t>
      </w:r>
      <w:proofErr w:type="spellEnd"/>
      <w:r w:rsidRPr="008402F4">
        <w:rPr>
          <w:rFonts w:ascii="Tahoma" w:hAnsi="Tahoma" w:cs="Tahoma"/>
          <w:iCs/>
          <w:color w:val="000000"/>
          <w:szCs w:val="22"/>
        </w:rPr>
        <w:t xml:space="preserve"> am 8. April den ersten Seriengefechtsstand </w:t>
      </w:r>
      <w:r w:rsidRPr="008402F4">
        <w:rPr>
          <w:rFonts w:ascii="Tahoma" w:hAnsi="Tahoma" w:cs="Tahoma"/>
          <w:iCs/>
          <w:szCs w:val="22"/>
        </w:rPr>
        <w:t>für einen Exportkunden</w:t>
      </w:r>
      <w:r w:rsidRPr="008402F4">
        <w:rPr>
          <w:rFonts w:ascii="Tahoma" w:hAnsi="Tahoma" w:cs="Tahoma"/>
          <w:iCs/>
          <w:color w:val="FF0000"/>
          <w:szCs w:val="22"/>
        </w:rPr>
        <w:t xml:space="preserve"> </w:t>
      </w:r>
      <w:r w:rsidRPr="008402F4">
        <w:rPr>
          <w:rFonts w:ascii="Tahoma" w:hAnsi="Tahoma" w:cs="Tahoma"/>
          <w:iCs/>
          <w:color w:val="000000"/>
          <w:szCs w:val="22"/>
        </w:rPr>
        <w:t xml:space="preserve">des taktischen Luftverteidigungssystems IRIS-T SLM übernommen. </w:t>
      </w:r>
    </w:p>
    <w:p w:rsidR="007467B5" w:rsidRPr="008402F4" w:rsidRDefault="008402F4" w:rsidP="008402F4">
      <w:pPr>
        <w:spacing w:line="290" w:lineRule="atLeast"/>
        <w:rPr>
          <w:rFonts w:ascii="Tahoma" w:hAnsi="Tahoma" w:cs="Tahoma"/>
          <w:szCs w:val="22"/>
        </w:rPr>
      </w:pPr>
      <w:r w:rsidRPr="008402F4">
        <w:rPr>
          <w:rFonts w:ascii="Tahoma" w:hAnsi="Tahoma" w:cs="Tahoma"/>
          <w:iCs/>
          <w:color w:val="000000"/>
          <w:szCs w:val="22"/>
        </w:rPr>
        <w:t xml:space="preserve">Der komplett ausgestattete </w:t>
      </w:r>
      <w:r w:rsidRPr="008402F4">
        <w:rPr>
          <w:rFonts w:ascii="Tahoma" w:hAnsi="Tahoma" w:cs="Tahoma"/>
          <w:iCs/>
          <w:szCs w:val="22"/>
        </w:rPr>
        <w:t xml:space="preserve">20-Fuß </w:t>
      </w:r>
      <w:proofErr w:type="spellStart"/>
      <w:r w:rsidRPr="008402F4">
        <w:rPr>
          <w:rFonts w:ascii="Tahoma" w:hAnsi="Tahoma" w:cs="Tahoma"/>
          <w:iCs/>
          <w:color w:val="000000"/>
          <w:szCs w:val="22"/>
        </w:rPr>
        <w:t>Shelter</w:t>
      </w:r>
      <w:proofErr w:type="spellEnd"/>
      <w:r w:rsidRPr="008402F4">
        <w:rPr>
          <w:rFonts w:ascii="Tahoma" w:hAnsi="Tahoma" w:cs="Tahoma"/>
          <w:iCs/>
          <w:color w:val="000000"/>
          <w:szCs w:val="22"/>
        </w:rPr>
        <w:t xml:space="preserve">, der u. a. über </w:t>
      </w:r>
      <w:r w:rsidRPr="008402F4">
        <w:rPr>
          <w:rFonts w:ascii="Tahoma" w:hAnsi="Tahoma" w:cs="Tahoma"/>
          <w:iCs/>
          <w:szCs w:val="22"/>
        </w:rPr>
        <w:t xml:space="preserve">mehrere </w:t>
      </w:r>
      <w:r w:rsidRPr="008402F4">
        <w:rPr>
          <w:rFonts w:ascii="Tahoma" w:hAnsi="Tahoma" w:cs="Tahoma"/>
          <w:iCs/>
          <w:color w:val="000000"/>
          <w:szCs w:val="22"/>
        </w:rPr>
        <w:t xml:space="preserve">Feuerleitrechner von Diehl und die IBMS (Integrated Battle Management </w:t>
      </w:r>
      <w:proofErr w:type="gramStart"/>
      <w:r w:rsidRPr="008402F4">
        <w:rPr>
          <w:rFonts w:ascii="Tahoma" w:hAnsi="Tahoma" w:cs="Tahoma"/>
          <w:iCs/>
          <w:color w:val="000000"/>
          <w:szCs w:val="22"/>
        </w:rPr>
        <w:t>System)-</w:t>
      </w:r>
      <w:proofErr w:type="gramEnd"/>
      <w:r w:rsidRPr="008402F4">
        <w:rPr>
          <w:rFonts w:ascii="Tahoma" w:hAnsi="Tahoma" w:cs="Tahoma"/>
          <w:iCs/>
          <w:color w:val="000000"/>
          <w:szCs w:val="22"/>
        </w:rPr>
        <w:t xml:space="preserve">Software von Airbus verfügt, wurde </w:t>
      </w:r>
      <w:r w:rsidRPr="008402F4">
        <w:rPr>
          <w:rFonts w:ascii="Tahoma" w:hAnsi="Tahoma" w:cs="Tahoma"/>
          <w:iCs/>
          <w:szCs w:val="22"/>
        </w:rPr>
        <w:t xml:space="preserve">gemäß den Anforderungen von Diehl </w:t>
      </w:r>
      <w:r w:rsidRPr="008402F4">
        <w:rPr>
          <w:rFonts w:ascii="Tahoma" w:hAnsi="Tahoma" w:cs="Tahoma"/>
          <w:iCs/>
          <w:color w:val="000000"/>
          <w:szCs w:val="22"/>
        </w:rPr>
        <w:t xml:space="preserve">in nur zweieinhalb Jahren entwickelt </w:t>
      </w:r>
      <w:r w:rsidRPr="008402F4">
        <w:rPr>
          <w:rFonts w:ascii="Tahoma" w:hAnsi="Tahoma" w:cs="Tahoma"/>
          <w:iCs/>
          <w:szCs w:val="22"/>
        </w:rPr>
        <w:t>und gebaut</w:t>
      </w:r>
      <w:r w:rsidRPr="008402F4">
        <w:rPr>
          <w:rFonts w:ascii="Tahoma" w:hAnsi="Tahoma" w:cs="Tahoma"/>
          <w:iCs/>
          <w:color w:val="000000"/>
          <w:szCs w:val="22"/>
        </w:rPr>
        <w:t xml:space="preserve">. Die Kommandozentrale für den mobilen 24/7-Einsatz braucht nicht mehr </w:t>
      </w:r>
      <w:r w:rsidRPr="008402F4">
        <w:rPr>
          <w:rFonts w:ascii="Tahoma" w:hAnsi="Tahoma" w:cs="Tahoma"/>
          <w:iCs/>
          <w:szCs w:val="22"/>
        </w:rPr>
        <w:t xml:space="preserve">als drei </w:t>
      </w:r>
      <w:r w:rsidRPr="008402F4">
        <w:rPr>
          <w:rFonts w:ascii="Tahoma" w:hAnsi="Tahoma" w:cs="Tahoma"/>
          <w:iCs/>
          <w:color w:val="000000"/>
          <w:szCs w:val="22"/>
        </w:rPr>
        <w:t>Personen zur Bedienung, vernetzt als integraler System-Bestandteil von IRIS-T SLM dank Plug-</w:t>
      </w:r>
      <w:proofErr w:type="spellStart"/>
      <w:r w:rsidRPr="008402F4">
        <w:rPr>
          <w:rFonts w:ascii="Tahoma" w:hAnsi="Tahoma" w:cs="Tahoma"/>
          <w:iCs/>
          <w:color w:val="000000"/>
          <w:szCs w:val="22"/>
        </w:rPr>
        <w:t>and</w:t>
      </w:r>
      <w:proofErr w:type="spellEnd"/>
      <w:r w:rsidRPr="008402F4">
        <w:rPr>
          <w:rFonts w:ascii="Tahoma" w:hAnsi="Tahoma" w:cs="Tahoma"/>
          <w:iCs/>
          <w:color w:val="000000"/>
          <w:szCs w:val="22"/>
        </w:rPr>
        <w:t xml:space="preserve">-Fight-Technologie Sensoren wie das Mittelbereichsradar von HENSOLDT mit den Startgeräten von Diehl. Bei Bedarf stellt sie auch den Datenaustausch und die Kommunikation mit übergeordneten </w:t>
      </w:r>
      <w:r w:rsidRPr="008402F4">
        <w:rPr>
          <w:rFonts w:ascii="Tahoma" w:hAnsi="Tahoma" w:cs="Tahoma"/>
          <w:iCs/>
          <w:szCs w:val="22"/>
        </w:rPr>
        <w:t>Gefechtsstände</w:t>
      </w:r>
      <w:r w:rsidRPr="008402F4">
        <w:rPr>
          <w:rFonts w:ascii="Tahoma" w:hAnsi="Tahoma" w:cs="Tahoma"/>
          <w:iCs/>
          <w:color w:val="FF0000"/>
          <w:szCs w:val="22"/>
        </w:rPr>
        <w:t xml:space="preserve"> </w:t>
      </w:r>
      <w:r w:rsidRPr="008402F4">
        <w:rPr>
          <w:rFonts w:ascii="Tahoma" w:hAnsi="Tahoma" w:cs="Tahoma"/>
          <w:iCs/>
          <w:color w:val="000000"/>
          <w:szCs w:val="22"/>
        </w:rPr>
        <w:t xml:space="preserve">sicher. </w:t>
      </w:r>
      <w:r w:rsidRPr="008402F4">
        <w:rPr>
          <w:rFonts w:ascii="Tahoma" w:hAnsi="Tahoma" w:cs="Tahoma"/>
          <w:iCs/>
          <w:color w:val="000000"/>
          <w:szCs w:val="22"/>
        </w:rPr>
        <w:br/>
        <w:t>Die nächsten Schritte beinhalten die notwendigen Integrationstests in das modulare Gesamtsystem IRIS-T SLM für die bodengebundene Luftverteidigung mittlerer Reichweite, dessen Auslieferung an den Kunden noch in diesem Jahr erfolgen soll.</w:t>
      </w:r>
    </w:p>
    <w:p w:rsidR="007467B5" w:rsidRPr="008402F4" w:rsidRDefault="007467B5" w:rsidP="00A74A8A">
      <w:pPr>
        <w:spacing w:line="240" w:lineRule="atLeast"/>
        <w:rPr>
          <w:rFonts w:ascii="Tahoma" w:hAnsi="Tahoma" w:cs="Tahoma"/>
          <w:szCs w:val="22"/>
        </w:rPr>
      </w:pPr>
    </w:p>
    <w:p w:rsidR="006B51DD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DB239E" w:rsidRPr="009F7A33" w:rsidRDefault="00DB239E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754234" w:rsidRPr="009F7A33" w:rsidRDefault="00754234" w:rsidP="00A74A8A">
      <w:pPr>
        <w:spacing w:line="240" w:lineRule="atLeast"/>
        <w:rPr>
          <w:rFonts w:ascii="Tahoma" w:hAnsi="Tahoma" w:cs="Tahoma"/>
          <w:sz w:val="20"/>
        </w:rPr>
      </w:pPr>
      <w:bookmarkStart w:id="0" w:name="_GoBack"/>
      <w:bookmarkEnd w:id="0"/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A26E4C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</w:rPr>
      </w:pPr>
      <w:r w:rsidRPr="00A26E4C">
        <w:rPr>
          <w:rFonts w:ascii="Tahoma" w:hAnsi="Tahoma" w:cs="Tahoma"/>
          <w:b/>
          <w:sz w:val="18"/>
          <w:szCs w:val="18"/>
        </w:rPr>
        <w:t xml:space="preserve">Über Diehl </w:t>
      </w:r>
      <w:proofErr w:type="spellStart"/>
      <w:r w:rsidRPr="00A26E4C">
        <w:rPr>
          <w:rFonts w:ascii="Tahoma" w:hAnsi="Tahoma" w:cs="Tahoma"/>
          <w:b/>
          <w:sz w:val="18"/>
          <w:szCs w:val="18"/>
        </w:rPr>
        <w:t>Defence</w:t>
      </w:r>
      <w:proofErr w:type="spellEnd"/>
    </w:p>
    <w:p w:rsidR="00A74A8A" w:rsidRPr="00FB26C4" w:rsidRDefault="00A74A8A" w:rsidP="00A74A8A">
      <w:pPr>
        <w:spacing w:line="240" w:lineRule="atLeast"/>
        <w:rPr>
          <w:rFonts w:ascii="Tahoma" w:hAnsi="Tahoma" w:cs="Tahoma"/>
          <w:sz w:val="18"/>
          <w:szCs w:val="18"/>
        </w:rPr>
      </w:pPr>
      <w:r w:rsidRPr="00FB26C4">
        <w:rPr>
          <w:rFonts w:ascii="Tahoma" w:hAnsi="Tahoma" w:cs="Tahoma"/>
          <w:sz w:val="18"/>
          <w:szCs w:val="18"/>
        </w:rPr>
        <w:t xml:space="preserve">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bündelt die Geschäftsaktivitäten der Diehl-Gruppe in den Bereichen Sicherheit und Verteidigung. Als Führungsgesellschaft steuert 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zahlreiche Tochterunternehmen, Programm- und Beteiligungsgesellschaften. </w:t>
      </w:r>
      <w:r w:rsidR="009F7A33">
        <w:rPr>
          <w:rFonts w:ascii="Tahoma" w:hAnsi="Tahoma" w:cs="Tahoma"/>
          <w:sz w:val="18"/>
          <w:szCs w:val="18"/>
        </w:rPr>
        <w:t>M</w:t>
      </w:r>
      <w:r w:rsidRPr="00FB26C4">
        <w:rPr>
          <w:rFonts w:ascii="Tahoma" w:hAnsi="Tahoma" w:cs="Tahoma"/>
          <w:sz w:val="18"/>
          <w:szCs w:val="18"/>
        </w:rPr>
        <w:t>it</w:t>
      </w:r>
      <w:r w:rsidR="00C66C6B" w:rsidRPr="00FB26C4">
        <w:rPr>
          <w:rFonts w:ascii="Tahoma" w:hAnsi="Tahoma" w:cs="Tahoma"/>
          <w:sz w:val="18"/>
          <w:szCs w:val="18"/>
        </w:rPr>
        <w:t xml:space="preserve"> </w:t>
      </w:r>
      <w:r w:rsidR="00BE1E0D" w:rsidRPr="00FB26C4">
        <w:rPr>
          <w:rFonts w:ascii="Tahoma" w:hAnsi="Tahoma" w:cs="Tahoma"/>
          <w:sz w:val="18"/>
          <w:szCs w:val="18"/>
        </w:rPr>
        <w:t>2</w:t>
      </w:r>
      <w:r w:rsidR="00A73CA6" w:rsidRPr="00FB26C4">
        <w:rPr>
          <w:rFonts w:ascii="Tahoma" w:hAnsi="Tahoma" w:cs="Tahoma"/>
          <w:sz w:val="18"/>
          <w:szCs w:val="18"/>
        </w:rPr>
        <w:t>.</w:t>
      </w:r>
      <w:r w:rsidR="00EC4678">
        <w:rPr>
          <w:rFonts w:ascii="Tahoma" w:hAnsi="Tahoma" w:cs="Tahoma"/>
          <w:sz w:val="18"/>
          <w:szCs w:val="18"/>
        </w:rPr>
        <w:t>50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Beschäftigten </w:t>
      </w:r>
      <w:r w:rsidR="009F7A33">
        <w:rPr>
          <w:rFonts w:ascii="Tahoma" w:hAnsi="Tahoma" w:cs="Tahoma"/>
          <w:sz w:val="18"/>
          <w:szCs w:val="18"/>
        </w:rPr>
        <w:t xml:space="preserve">erzielt Diehl </w:t>
      </w:r>
      <w:proofErr w:type="spellStart"/>
      <w:r w:rsidR="009F7A33">
        <w:rPr>
          <w:rFonts w:ascii="Tahoma" w:hAnsi="Tahoma" w:cs="Tahoma"/>
          <w:sz w:val="18"/>
          <w:szCs w:val="18"/>
        </w:rPr>
        <w:t>Defence</w:t>
      </w:r>
      <w:proofErr w:type="spellEnd"/>
      <w:r w:rsidR="009F7A33">
        <w:rPr>
          <w:rFonts w:ascii="Tahoma" w:hAnsi="Tahoma" w:cs="Tahoma"/>
          <w:sz w:val="18"/>
          <w:szCs w:val="18"/>
        </w:rPr>
        <w:t xml:space="preserve"> </w:t>
      </w:r>
      <w:r w:rsidRPr="00FB26C4">
        <w:rPr>
          <w:rFonts w:ascii="Tahoma" w:hAnsi="Tahoma" w:cs="Tahoma"/>
          <w:sz w:val="18"/>
          <w:szCs w:val="18"/>
        </w:rPr>
        <w:t xml:space="preserve">einen Jahresumsatz von </w:t>
      </w:r>
      <w:r w:rsidR="00EC4678">
        <w:rPr>
          <w:rFonts w:ascii="Tahoma" w:hAnsi="Tahoma" w:cs="Tahoma"/>
          <w:sz w:val="18"/>
          <w:szCs w:val="18"/>
        </w:rPr>
        <w:t>46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Mio. Euro.</w:t>
      </w:r>
      <w:r w:rsidR="00EC4678">
        <w:rPr>
          <w:rFonts w:ascii="Tahoma" w:hAnsi="Tahoma" w:cs="Tahoma"/>
          <w:sz w:val="18"/>
          <w:szCs w:val="18"/>
        </w:rPr>
        <w:br/>
      </w: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 w:rsidRPr="00AD2016"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9C" w:rsidRDefault="00880E9C">
      <w:r>
        <w:separator/>
      </w:r>
    </w:p>
  </w:endnote>
  <w:endnote w:type="continuationSeparator" w:id="0">
    <w:p w:rsidR="00880E9C" w:rsidRDefault="0088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 xml:space="preserve">Diehl </w:t>
    </w:r>
    <w:proofErr w:type="spellStart"/>
    <w:r w:rsidRPr="00FB26C4">
      <w:rPr>
        <w:rFonts w:ascii="Tahoma" w:hAnsi="Tahoma" w:cs="Tahoma"/>
        <w:sz w:val="18"/>
      </w:rPr>
      <w:t>Defence</w:t>
    </w:r>
    <w:proofErr w:type="spellEnd"/>
    <w:r w:rsidRPr="00FB26C4">
      <w:rPr>
        <w:rFonts w:ascii="Tahoma" w:hAnsi="Tahoma" w:cs="Tahoma"/>
        <w:sz w:val="18"/>
      </w:rPr>
      <w:t xml:space="preserve">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  <w:t>Postfach 10 1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55, 8864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Überlingen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 w:rsidRPr="00FB26C4">
      <w:rPr>
        <w:rFonts w:ascii="Tahoma" w:hAnsi="Tahoma" w:cs="Tahoma"/>
        <w:sz w:val="18"/>
        <w:szCs w:val="18"/>
      </w:rPr>
      <w:t>Paul Sonnenschein, Leiter Öffentlichkeitsarbeit</w:t>
    </w:r>
    <w:r w:rsidRPr="00FB26C4">
      <w:rPr>
        <w:rFonts w:ascii="Tahoma" w:hAnsi="Tahoma" w:cs="Tahoma"/>
        <w:sz w:val="18"/>
        <w:szCs w:val="18"/>
      </w:rPr>
      <w:br/>
      <w:t xml:space="preserve">Tel. 07551 89-2685, Fax 07551 89-4835, </w:t>
    </w:r>
    <w:r w:rsidR="00DB239E"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 w:rsidR="009F7A33">
      <w:rPr>
        <w:rStyle w:val="Hyperlink"/>
        <w:rFonts w:ascii="Tahoma" w:hAnsi="Tahoma" w:cs="Tahoma"/>
        <w:sz w:val="18"/>
        <w:szCs w:val="18"/>
      </w:rPr>
      <w:t>com</w:t>
    </w:r>
    <w:r w:rsidRPr="00FB26C4"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 w:rsidRPr="00FB26C4"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9C" w:rsidRDefault="00880E9C">
      <w:r>
        <w:separator/>
      </w:r>
    </w:p>
  </w:footnote>
  <w:footnote w:type="continuationSeparator" w:id="0">
    <w:p w:rsidR="00880E9C" w:rsidRDefault="0088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305D"/>
    <w:rsid w:val="00066E17"/>
    <w:rsid w:val="00082005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E21BD"/>
    <w:rsid w:val="001F43C8"/>
    <w:rsid w:val="00210F9D"/>
    <w:rsid w:val="002420A6"/>
    <w:rsid w:val="002671BF"/>
    <w:rsid w:val="002744B1"/>
    <w:rsid w:val="00284F18"/>
    <w:rsid w:val="00286E3B"/>
    <w:rsid w:val="00295888"/>
    <w:rsid w:val="002A5B73"/>
    <w:rsid w:val="002B349D"/>
    <w:rsid w:val="002B4FAF"/>
    <w:rsid w:val="002B699B"/>
    <w:rsid w:val="002C0806"/>
    <w:rsid w:val="002D5246"/>
    <w:rsid w:val="002E712D"/>
    <w:rsid w:val="003076C7"/>
    <w:rsid w:val="00311D4C"/>
    <w:rsid w:val="00336281"/>
    <w:rsid w:val="00347FDB"/>
    <w:rsid w:val="00354198"/>
    <w:rsid w:val="00355048"/>
    <w:rsid w:val="00356066"/>
    <w:rsid w:val="003663DB"/>
    <w:rsid w:val="003726FC"/>
    <w:rsid w:val="00377261"/>
    <w:rsid w:val="003A5FA9"/>
    <w:rsid w:val="003B1599"/>
    <w:rsid w:val="003C0F7A"/>
    <w:rsid w:val="003F496B"/>
    <w:rsid w:val="004123E2"/>
    <w:rsid w:val="00435E6C"/>
    <w:rsid w:val="00437A4D"/>
    <w:rsid w:val="0045644C"/>
    <w:rsid w:val="004631DC"/>
    <w:rsid w:val="004A6F63"/>
    <w:rsid w:val="004A6FE5"/>
    <w:rsid w:val="004B0D37"/>
    <w:rsid w:val="004C5D76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5746B"/>
    <w:rsid w:val="00565DFA"/>
    <w:rsid w:val="005967A6"/>
    <w:rsid w:val="005C7136"/>
    <w:rsid w:val="005E73D9"/>
    <w:rsid w:val="00611C9D"/>
    <w:rsid w:val="00630A8C"/>
    <w:rsid w:val="00642192"/>
    <w:rsid w:val="006421CE"/>
    <w:rsid w:val="0066343F"/>
    <w:rsid w:val="006831C7"/>
    <w:rsid w:val="00687F3D"/>
    <w:rsid w:val="006977D1"/>
    <w:rsid w:val="006A08C0"/>
    <w:rsid w:val="006B51DD"/>
    <w:rsid w:val="006E6D49"/>
    <w:rsid w:val="006F1078"/>
    <w:rsid w:val="00704F35"/>
    <w:rsid w:val="007103CD"/>
    <w:rsid w:val="007313C9"/>
    <w:rsid w:val="007467B5"/>
    <w:rsid w:val="00754234"/>
    <w:rsid w:val="00754B8D"/>
    <w:rsid w:val="0075511F"/>
    <w:rsid w:val="00782A2C"/>
    <w:rsid w:val="007B33EC"/>
    <w:rsid w:val="007B6260"/>
    <w:rsid w:val="007B662D"/>
    <w:rsid w:val="007D23E7"/>
    <w:rsid w:val="007E43AB"/>
    <w:rsid w:val="0080288B"/>
    <w:rsid w:val="0081137D"/>
    <w:rsid w:val="00820446"/>
    <w:rsid w:val="00827A77"/>
    <w:rsid w:val="008402F4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668F"/>
    <w:rsid w:val="00936949"/>
    <w:rsid w:val="009405EF"/>
    <w:rsid w:val="00955B60"/>
    <w:rsid w:val="009C2763"/>
    <w:rsid w:val="009C74DF"/>
    <w:rsid w:val="009E1E2E"/>
    <w:rsid w:val="009E2ACA"/>
    <w:rsid w:val="009F0D44"/>
    <w:rsid w:val="009F3A1D"/>
    <w:rsid w:val="009F7A33"/>
    <w:rsid w:val="00A02EFB"/>
    <w:rsid w:val="00A26E4C"/>
    <w:rsid w:val="00A274E7"/>
    <w:rsid w:val="00A445F5"/>
    <w:rsid w:val="00A45F5D"/>
    <w:rsid w:val="00A73CA6"/>
    <w:rsid w:val="00A74A8A"/>
    <w:rsid w:val="00AB3803"/>
    <w:rsid w:val="00AC68A8"/>
    <w:rsid w:val="00AD2016"/>
    <w:rsid w:val="00AE551E"/>
    <w:rsid w:val="00AF47DC"/>
    <w:rsid w:val="00B068EC"/>
    <w:rsid w:val="00B52008"/>
    <w:rsid w:val="00B642E3"/>
    <w:rsid w:val="00B73C5B"/>
    <w:rsid w:val="00BA19D5"/>
    <w:rsid w:val="00BB6203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67BF"/>
    <w:rsid w:val="00C66C6B"/>
    <w:rsid w:val="00C84879"/>
    <w:rsid w:val="00CA2292"/>
    <w:rsid w:val="00D034BF"/>
    <w:rsid w:val="00D04523"/>
    <w:rsid w:val="00D165FA"/>
    <w:rsid w:val="00D37283"/>
    <w:rsid w:val="00D37936"/>
    <w:rsid w:val="00D4056D"/>
    <w:rsid w:val="00D472B7"/>
    <w:rsid w:val="00D5415A"/>
    <w:rsid w:val="00D84BDD"/>
    <w:rsid w:val="00D962BA"/>
    <w:rsid w:val="00DB239E"/>
    <w:rsid w:val="00DD01F7"/>
    <w:rsid w:val="00DF582B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C4678"/>
    <w:rsid w:val="00EE0F94"/>
    <w:rsid w:val="00EF4F3E"/>
    <w:rsid w:val="00F35FAB"/>
    <w:rsid w:val="00F36204"/>
    <w:rsid w:val="00F453AF"/>
    <w:rsid w:val="00F744F7"/>
    <w:rsid w:val="00FB26C4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2FD4079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1674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Ingrid MUELLER</cp:lastModifiedBy>
  <cp:revision>3</cp:revision>
  <cp:lastPrinted>2014-07-08T08:39:00Z</cp:lastPrinted>
  <dcterms:created xsi:type="dcterms:W3CDTF">2020-04-16T07:36:00Z</dcterms:created>
  <dcterms:modified xsi:type="dcterms:W3CDTF">2020-04-21T11:02:00Z</dcterms:modified>
</cp:coreProperties>
</file>